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E5FE" w14:textId="3E9FF0C8" w:rsidR="00341D06" w:rsidRPr="00341D06" w:rsidRDefault="00341D06" w:rsidP="00341D06">
      <w:pPr>
        <w:pStyle w:val="Heading"/>
        <w:rPr>
          <w:lang w:val="en-US"/>
        </w:rPr>
      </w:pPr>
      <w:r w:rsidRPr="00341D06">
        <w:rPr>
          <w:lang w:val="en-US"/>
        </w:rPr>
        <w:t>Aboriginal and Torres Strait Islander Procurement Action Plan – 2024-25</w:t>
      </w:r>
    </w:p>
    <w:p w14:paraId="0ACB31F0" w14:textId="77777777" w:rsidR="00341D06" w:rsidRPr="00341D06" w:rsidRDefault="00341D06" w:rsidP="00341D06">
      <w:pPr>
        <w:pStyle w:val="SubHeading"/>
      </w:pPr>
      <w:r w:rsidRPr="00341D06">
        <w:t>Our Commitment</w:t>
      </w:r>
    </w:p>
    <w:p w14:paraId="3FFA6F9D" w14:textId="49106B39" w:rsidR="00341D06" w:rsidRPr="00341D06" w:rsidRDefault="00341D06" w:rsidP="00341D06">
      <w:pPr>
        <w:pStyle w:val="Body"/>
      </w:pPr>
      <w:r w:rsidRPr="00341D06">
        <w:t xml:space="preserve">The Department of Education is committed to increasing its procurement </w:t>
      </w:r>
      <w:r w:rsidR="001A205A">
        <w:t>with</w:t>
      </w:r>
      <w:r w:rsidRPr="00341D06">
        <w:t xml:space="preserve"> Aboriginal and Torres Strait Islander businesses.</w:t>
      </w:r>
      <w:r>
        <w:t xml:space="preserve"> </w:t>
      </w:r>
      <w:r w:rsidRPr="00341D06">
        <w:t xml:space="preserve">By engaging Aboriginal and Torres Strait Islander businesses we can help to create employment, build sector capability, and increase the economic participation and employment of Aboriginal and Torres Strait Islander peoples.  </w:t>
      </w:r>
    </w:p>
    <w:p w14:paraId="0598A51E" w14:textId="77777777" w:rsidR="00341D06" w:rsidRPr="00341D06" w:rsidRDefault="00341D06" w:rsidP="00341D06">
      <w:pPr>
        <w:pStyle w:val="Body"/>
      </w:pPr>
      <w:r w:rsidRPr="00341D06">
        <w:t xml:space="preserve">It is also an important way we can achieve Equity and Excellence in our state education system.  We know that when parents and caregivers are employed, their children are more likely to attend school, achieve and realise their potential.  </w:t>
      </w:r>
    </w:p>
    <w:p w14:paraId="4C032386" w14:textId="326B819B" w:rsidR="00341D06" w:rsidRPr="00341D06" w:rsidRDefault="00341D06" w:rsidP="00341D06">
      <w:pPr>
        <w:pStyle w:val="Body"/>
      </w:pPr>
      <w:r w:rsidRPr="00341D06">
        <w:t xml:space="preserve">The opportunity we have is tremendous. By making small changes to our buying practices, with a conscious focus on increasing procurement </w:t>
      </w:r>
      <w:r w:rsidR="00C050FE">
        <w:t>with</w:t>
      </w:r>
      <w:r w:rsidRPr="00341D06">
        <w:t xml:space="preserve"> Aboriginal and Torres Strait Islander businesses, we can make a positive impact on children and young people, their families and communities.  </w:t>
      </w:r>
    </w:p>
    <w:p w14:paraId="2F76AB4A" w14:textId="77777777" w:rsidR="00341D06" w:rsidRPr="00341D06" w:rsidRDefault="00341D06" w:rsidP="00341D06">
      <w:pPr>
        <w:pStyle w:val="Body"/>
      </w:pPr>
      <w:r w:rsidRPr="00341D06">
        <w:t xml:space="preserve">The Department is committed to implementing the Queensland Indigenous Procurement Policy, and awarding 3 per cent of its annual procurement spend to Aboriginal and Torres Strait Islander businesses. </w:t>
      </w:r>
    </w:p>
    <w:p w14:paraId="1F6A4525" w14:textId="76960707" w:rsidR="00021052" w:rsidRDefault="00341D06" w:rsidP="00341D06">
      <w:pPr>
        <w:pStyle w:val="Body"/>
      </w:pPr>
      <w:r w:rsidRPr="00341D06">
        <w:t>In this Action Plan, we commit to actions and set targets that continue growing the number of Aboriginal and Torres Strait Islander businesses we buy from – from large capital works to everyday purchases such as stationery.</w:t>
      </w:r>
    </w:p>
    <w:p w14:paraId="49013929" w14:textId="77777777" w:rsidR="00341D06" w:rsidRPr="00341D06" w:rsidRDefault="00341D06" w:rsidP="00341D06">
      <w:pPr>
        <w:pStyle w:val="SubHeading"/>
      </w:pPr>
      <w:r w:rsidRPr="00341D06">
        <w:t>Our Focus</w:t>
      </w:r>
    </w:p>
    <w:p w14:paraId="4EFAB18F" w14:textId="0BD3A790" w:rsidR="00341D06" w:rsidRPr="00341D06" w:rsidRDefault="00341D06" w:rsidP="00341D06">
      <w:pPr>
        <w:pStyle w:val="Body"/>
      </w:pPr>
      <w:r w:rsidRPr="00341D06">
        <w:t>Commitment and leadership</w:t>
      </w:r>
      <w:r>
        <w:t xml:space="preserve">. </w:t>
      </w:r>
    </w:p>
    <w:p w14:paraId="027AA8B9" w14:textId="77777777" w:rsidR="00341D06" w:rsidRPr="00341D06" w:rsidRDefault="00341D06" w:rsidP="00341D06">
      <w:pPr>
        <w:pStyle w:val="Body"/>
      </w:pPr>
      <w:r w:rsidRPr="00341D06">
        <w:t>Aboriginal and Torres Strait Islander procurement is seen and treated as a priority.</w:t>
      </w:r>
    </w:p>
    <w:p w14:paraId="36A778A8" w14:textId="51CFFEA0" w:rsidR="00341D06" w:rsidRPr="00341D06" w:rsidRDefault="00341D06" w:rsidP="00341D06">
      <w:pPr>
        <w:pStyle w:val="Body"/>
      </w:pPr>
      <w:r w:rsidRPr="00341D06">
        <w:t>Awareness and know-how</w:t>
      </w:r>
      <w:r>
        <w:t>.</w:t>
      </w:r>
    </w:p>
    <w:p w14:paraId="51CC8865" w14:textId="77777777" w:rsidR="00341D06" w:rsidRPr="00341D06" w:rsidRDefault="00341D06" w:rsidP="00341D06">
      <w:pPr>
        <w:pStyle w:val="Body"/>
      </w:pPr>
      <w:r w:rsidRPr="00341D06">
        <w:t>Staff understand the importance of Aboriginal and Torres Strait Islander procurement and how to achieve it in their roles.</w:t>
      </w:r>
    </w:p>
    <w:p w14:paraId="2E99607C" w14:textId="33682C9F" w:rsidR="00341D06" w:rsidRPr="00341D06" w:rsidRDefault="00341D06" w:rsidP="00341D06">
      <w:pPr>
        <w:pStyle w:val="Body"/>
      </w:pPr>
      <w:r w:rsidRPr="00341D06">
        <w:t>Supporting suppliers</w:t>
      </w:r>
      <w:r>
        <w:t>.</w:t>
      </w:r>
    </w:p>
    <w:p w14:paraId="4D174E10" w14:textId="77777777" w:rsidR="00341D06" w:rsidRDefault="00341D06" w:rsidP="00341D06">
      <w:pPr>
        <w:pStyle w:val="Body"/>
      </w:pPr>
      <w:r w:rsidRPr="00341D06">
        <w:t>Making it easier for Aboriginal and Torres Strait Islander suppliers to do business with us.</w:t>
      </w:r>
    </w:p>
    <w:p w14:paraId="4F955D3B" w14:textId="77777777" w:rsidR="00341D06" w:rsidRDefault="00341D06" w:rsidP="00341D06">
      <w:pPr>
        <w:pStyle w:val="SubHeading"/>
      </w:pPr>
      <w:r w:rsidRPr="00341D06">
        <w:t>Our Targets</w:t>
      </w:r>
    </w:p>
    <w:p w14:paraId="66A11696" w14:textId="77777777" w:rsidR="00341D06" w:rsidRDefault="00341D06" w:rsidP="00341D06">
      <w:pPr>
        <w:pStyle w:val="Body"/>
      </w:pPr>
      <w:r w:rsidRPr="00341D06">
        <w:t>$40 Million</w:t>
      </w:r>
    </w:p>
    <w:p w14:paraId="427E6783" w14:textId="754D14BE" w:rsidR="00341D06" w:rsidRPr="00341D06" w:rsidRDefault="00341D06" w:rsidP="00341D06">
      <w:pPr>
        <w:pStyle w:val="Body"/>
      </w:pPr>
      <w:r w:rsidRPr="00341D06">
        <w:lastRenderedPageBreak/>
        <w:t>Building, Construction and Maintenance</w:t>
      </w:r>
    </w:p>
    <w:p w14:paraId="786D98FE" w14:textId="77777777" w:rsidR="00341D06" w:rsidRPr="00341D06" w:rsidRDefault="00341D06" w:rsidP="00341D06">
      <w:pPr>
        <w:pStyle w:val="Body"/>
      </w:pPr>
      <w:r w:rsidRPr="00341D06">
        <w:t>$7 Million</w:t>
      </w:r>
    </w:p>
    <w:p w14:paraId="06AC4572" w14:textId="2921B164" w:rsidR="00341D06" w:rsidRPr="00341D06" w:rsidRDefault="00341D06" w:rsidP="00341D06">
      <w:pPr>
        <w:pStyle w:val="Body"/>
      </w:pPr>
      <w:r w:rsidRPr="00341D06">
        <w:t>Information and Communication Technologies</w:t>
      </w:r>
    </w:p>
    <w:p w14:paraId="15573DE0" w14:textId="77777777" w:rsidR="00341D06" w:rsidRPr="00341D06" w:rsidRDefault="00341D06" w:rsidP="00341D06">
      <w:pPr>
        <w:pStyle w:val="Body"/>
      </w:pPr>
      <w:r w:rsidRPr="00341D06">
        <w:t>$5 Million</w:t>
      </w:r>
    </w:p>
    <w:p w14:paraId="4EED72CC" w14:textId="77777777" w:rsidR="00341D06" w:rsidRDefault="00341D06" w:rsidP="00341D06">
      <w:pPr>
        <w:pStyle w:val="Body"/>
      </w:pPr>
      <w:r w:rsidRPr="00341D06">
        <w:t>General Goods and Services</w:t>
      </w:r>
    </w:p>
    <w:p w14:paraId="684984F3" w14:textId="77777777" w:rsidR="00341D06" w:rsidRDefault="00341D06" w:rsidP="00341D06">
      <w:pPr>
        <w:pStyle w:val="SubHeading"/>
      </w:pPr>
      <w:r w:rsidRPr="00341D06">
        <w:t>Our Measures</w:t>
      </w:r>
    </w:p>
    <w:p w14:paraId="3B3E0751" w14:textId="3FE8CED2" w:rsidR="00341D06" w:rsidRDefault="00341D06" w:rsidP="00341D06">
      <w:pPr>
        <w:pStyle w:val="Body"/>
      </w:pPr>
      <w:r w:rsidRPr="00341D06">
        <w:t>Total funding provided to Aboriginal and Torres Strait Islander businesses through procurement and purchasing.</w:t>
      </w:r>
    </w:p>
    <w:p w14:paraId="2B42EF6C" w14:textId="61531F5C" w:rsidR="00341D06" w:rsidRDefault="00341D06" w:rsidP="00341D06">
      <w:pPr>
        <w:pStyle w:val="Body"/>
      </w:pPr>
      <w:r w:rsidRPr="00341D06">
        <w:t>The proportion of our available budget allocated to Aboriginal and Torres Strait Islander businesses.</w:t>
      </w:r>
    </w:p>
    <w:p w14:paraId="7B77C08E" w14:textId="3FB942EF" w:rsidR="00341D06" w:rsidRDefault="00341D06" w:rsidP="00341D06">
      <w:pPr>
        <w:pStyle w:val="Body"/>
      </w:pPr>
      <w:r w:rsidRPr="00341D06">
        <w:t>The number of new contracts or agreements with Aboriginal and Torres Strait Islander businesses.</w:t>
      </w:r>
    </w:p>
    <w:p w14:paraId="2FA77F72" w14:textId="4CE6FACA" w:rsidR="00341D06" w:rsidRDefault="00341D06" w:rsidP="00341D06">
      <w:pPr>
        <w:pStyle w:val="Body"/>
      </w:pPr>
      <w:r w:rsidRPr="00341D06">
        <w:t>The number of Aboriginal and Torres Strait Islander businesses we purchase from.</w:t>
      </w:r>
    </w:p>
    <w:p w14:paraId="1981C381" w14:textId="77777777" w:rsidR="00341D06" w:rsidRDefault="00341D06" w:rsidP="00341D06">
      <w:pPr>
        <w:pStyle w:val="SubHeading"/>
      </w:pPr>
      <w:r w:rsidRPr="00341D06">
        <w:t>Our Actions</w:t>
      </w:r>
    </w:p>
    <w:tbl>
      <w:tblPr>
        <w:tblStyle w:val="TableGrid"/>
        <w:tblW w:w="0" w:type="auto"/>
        <w:tblLook w:val="04A0" w:firstRow="1" w:lastRow="0" w:firstColumn="1" w:lastColumn="0" w:noHBand="0" w:noVBand="1"/>
      </w:tblPr>
      <w:tblGrid>
        <w:gridCol w:w="1838"/>
        <w:gridCol w:w="8232"/>
      </w:tblGrid>
      <w:tr w:rsidR="00341D06" w14:paraId="46C96EA2" w14:textId="77777777" w:rsidTr="002F4908">
        <w:tc>
          <w:tcPr>
            <w:tcW w:w="1838" w:type="dxa"/>
          </w:tcPr>
          <w:p w14:paraId="60BBC796" w14:textId="5C493AD3" w:rsidR="00341D06" w:rsidRPr="00341D06" w:rsidRDefault="00341D06" w:rsidP="00341D06">
            <w:pPr>
              <w:pStyle w:val="SubHeading"/>
            </w:pPr>
            <w:r w:rsidRPr="00341D06">
              <w:t>Aim</w:t>
            </w:r>
          </w:p>
        </w:tc>
        <w:tc>
          <w:tcPr>
            <w:tcW w:w="8232" w:type="dxa"/>
          </w:tcPr>
          <w:p w14:paraId="1EE4B390" w14:textId="50DCFAD8" w:rsidR="00341D06" w:rsidRPr="00341D06" w:rsidRDefault="00341D06" w:rsidP="00341D06">
            <w:pPr>
              <w:pStyle w:val="SubHeading"/>
            </w:pPr>
            <w:r w:rsidRPr="00341D06">
              <w:t>Actions</w:t>
            </w:r>
          </w:p>
        </w:tc>
      </w:tr>
      <w:tr w:rsidR="00341D06" w14:paraId="5FD8BBB8" w14:textId="77777777" w:rsidTr="002F4908">
        <w:tc>
          <w:tcPr>
            <w:tcW w:w="1838" w:type="dxa"/>
          </w:tcPr>
          <w:p w14:paraId="37C93BB3" w14:textId="7CDF65FC" w:rsidR="00341D06" w:rsidRDefault="00341D06" w:rsidP="00341D06">
            <w:pPr>
              <w:pStyle w:val="Body"/>
            </w:pPr>
            <w:r>
              <w:t>Commitment and</w:t>
            </w:r>
            <w:r>
              <w:br/>
              <w:t>leadership</w:t>
            </w:r>
          </w:p>
          <w:p w14:paraId="38A61618" w14:textId="77777777" w:rsidR="00341D06" w:rsidRDefault="00341D06" w:rsidP="00341D06">
            <w:pPr>
              <w:pStyle w:val="SubHeading"/>
            </w:pPr>
          </w:p>
        </w:tc>
        <w:tc>
          <w:tcPr>
            <w:tcW w:w="8232" w:type="dxa"/>
          </w:tcPr>
          <w:p w14:paraId="63EC5EB3" w14:textId="62A9027C" w:rsidR="00341D06" w:rsidRPr="00341D06" w:rsidRDefault="00341D06" w:rsidP="00341D06">
            <w:pPr>
              <w:pStyle w:val="Body"/>
            </w:pPr>
            <w:r w:rsidRPr="00341D06">
              <w:t>Establish an organisation-wide expectation that Aboriginal and Torres Strait Islander participation is considered in all procurement processes.</w:t>
            </w:r>
          </w:p>
          <w:p w14:paraId="44E80A64" w14:textId="77777777" w:rsidR="00341D06" w:rsidRPr="00341D06" w:rsidRDefault="00341D06" w:rsidP="00341D06">
            <w:pPr>
              <w:pStyle w:val="Body"/>
            </w:pPr>
            <w:r w:rsidRPr="00341D06">
              <w:t>Maintain annual Aboriginal and Torres Strait Islander procurement targets for infrastructure and introduce targets for other categories of spend (where feasible/appropriate).</w:t>
            </w:r>
          </w:p>
          <w:p w14:paraId="56AA5702" w14:textId="092BB7EC" w:rsidR="00341D06" w:rsidRPr="00341D06" w:rsidRDefault="00341D06" w:rsidP="00341D06">
            <w:pPr>
              <w:pStyle w:val="Body"/>
              <w:rPr>
                <w:color w:val="00003D"/>
                <w:sz w:val="28"/>
                <w:szCs w:val="28"/>
              </w:rPr>
            </w:pPr>
            <w:r w:rsidRPr="00341D06">
              <w:t>Expand the Aboriginal and Torres Strait Islander procurement dashboard to include additional outcome and impact measures.</w:t>
            </w:r>
          </w:p>
        </w:tc>
      </w:tr>
      <w:tr w:rsidR="00341D06" w14:paraId="61E4DB9D" w14:textId="77777777" w:rsidTr="002F4908">
        <w:tc>
          <w:tcPr>
            <w:tcW w:w="1838" w:type="dxa"/>
          </w:tcPr>
          <w:p w14:paraId="5A0AD558" w14:textId="7B2B0003" w:rsidR="00341D06" w:rsidRDefault="00341D06" w:rsidP="00341D06">
            <w:pPr>
              <w:pStyle w:val="Body"/>
            </w:pPr>
            <w:r>
              <w:t>Awareness and</w:t>
            </w:r>
            <w:r>
              <w:br/>
              <w:t>know-how</w:t>
            </w:r>
          </w:p>
          <w:p w14:paraId="18A67370" w14:textId="77777777" w:rsidR="00341D06" w:rsidRDefault="00341D06" w:rsidP="00341D06">
            <w:pPr>
              <w:pStyle w:val="SubHeading"/>
            </w:pPr>
          </w:p>
        </w:tc>
        <w:tc>
          <w:tcPr>
            <w:tcW w:w="8232" w:type="dxa"/>
          </w:tcPr>
          <w:p w14:paraId="6E91841C" w14:textId="6055C74A" w:rsidR="00341D06" w:rsidRPr="00341D06" w:rsidRDefault="00341D06" w:rsidP="00341D06">
            <w:pPr>
              <w:pStyle w:val="Body"/>
            </w:pPr>
            <w:r w:rsidRPr="00341D06">
              <w:t>Publish and promote supplier success stories that showcase the capability and contribution of Aboriginal and Torres Strait Islander businesses as a government supply partner.</w:t>
            </w:r>
          </w:p>
          <w:p w14:paraId="7AC9A71B" w14:textId="2B30C105" w:rsidR="00341D06" w:rsidRPr="00341D06" w:rsidRDefault="00341D06" w:rsidP="00341D06">
            <w:pPr>
              <w:pStyle w:val="Body"/>
            </w:pPr>
            <w:r w:rsidRPr="00341D06">
              <w:t xml:space="preserve">Engage with staff, including regions and schools, to understand and address any organisational barriers to increased procurement </w:t>
            </w:r>
            <w:r w:rsidR="00C050FE">
              <w:t>with</w:t>
            </w:r>
            <w:r w:rsidRPr="00341D06">
              <w:t xml:space="preserve"> Aboriginal and Torres Strait Islander businesses.</w:t>
            </w:r>
          </w:p>
          <w:p w14:paraId="421ED336" w14:textId="5AEB1D8A" w:rsidR="00341D06" w:rsidRPr="00341D06" w:rsidRDefault="00341D06" w:rsidP="00341D06">
            <w:pPr>
              <w:pStyle w:val="Body"/>
            </w:pPr>
            <w:r w:rsidRPr="00341D06">
              <w:t xml:space="preserve">Implement tailored training to educate staff on the Queensland Indigenous Procurement Policy (QIPP) and how to procure goods and services </w:t>
            </w:r>
            <w:r w:rsidR="00C050FE">
              <w:t>with</w:t>
            </w:r>
            <w:r w:rsidRPr="00341D06">
              <w:t> Aboriginal and Torres Strait Islander businesses.</w:t>
            </w:r>
          </w:p>
          <w:p w14:paraId="4586F229" w14:textId="77777777" w:rsidR="00341D06" w:rsidRPr="00341D06" w:rsidRDefault="00341D06" w:rsidP="00341D06">
            <w:pPr>
              <w:pStyle w:val="Body"/>
            </w:pPr>
            <w:r w:rsidRPr="00341D06">
              <w:lastRenderedPageBreak/>
              <w:t>Review and update procurement templates and guidance to actively prompt consideration and use of Aboriginal and Torres Strait Islander businesses.</w:t>
            </w:r>
          </w:p>
          <w:p w14:paraId="44A75140" w14:textId="275DFEFD" w:rsidR="00341D06" w:rsidRPr="00341D06" w:rsidRDefault="00341D06" w:rsidP="00341D06">
            <w:pPr>
              <w:pStyle w:val="Body"/>
            </w:pPr>
            <w:r w:rsidRPr="00341D06">
              <w:t>Establish dedicated positions to foster connections between schools/regions/DoE and Aboriginal and Torres Strait Islander businesses.</w:t>
            </w:r>
          </w:p>
        </w:tc>
      </w:tr>
      <w:tr w:rsidR="00341D06" w14:paraId="4146335C" w14:textId="77777777" w:rsidTr="002F4908">
        <w:tc>
          <w:tcPr>
            <w:tcW w:w="1838" w:type="dxa"/>
          </w:tcPr>
          <w:p w14:paraId="62E98951" w14:textId="2DA60C9D" w:rsidR="00341D06" w:rsidRDefault="00341D06" w:rsidP="00341D06">
            <w:pPr>
              <w:pStyle w:val="Body"/>
            </w:pPr>
            <w:r>
              <w:lastRenderedPageBreak/>
              <w:t>Supporting</w:t>
            </w:r>
            <w:r>
              <w:br/>
              <w:t>suppliers</w:t>
            </w:r>
          </w:p>
          <w:p w14:paraId="23CA0E4C" w14:textId="77777777" w:rsidR="00341D06" w:rsidRDefault="00341D06" w:rsidP="00341D06">
            <w:pPr>
              <w:pStyle w:val="SubHeading"/>
            </w:pPr>
          </w:p>
        </w:tc>
        <w:tc>
          <w:tcPr>
            <w:tcW w:w="8232" w:type="dxa"/>
          </w:tcPr>
          <w:p w14:paraId="008F165A" w14:textId="77777777" w:rsidR="002F4908" w:rsidRDefault="002F4908" w:rsidP="002F4908">
            <w:pPr>
              <w:pStyle w:val="Body"/>
            </w:pPr>
            <w:r>
              <w:t>Engage with Aboriginal and Torres Strait Islander businesses to understand and address barriers to supplying the Department of Education.</w:t>
            </w:r>
          </w:p>
          <w:p w14:paraId="724E8CC8" w14:textId="0E7D8351" w:rsidR="002F4908" w:rsidRDefault="002F4908" w:rsidP="002F4908">
            <w:pPr>
              <w:pStyle w:val="Body"/>
            </w:pPr>
            <w:r>
              <w:t>Review and simplify proposal requirements for Aboriginal and Torres Strait Islander businesses where</w:t>
            </w:r>
            <w:r w:rsidR="00C050FE">
              <w:t xml:space="preserve"> </w:t>
            </w:r>
            <w:r>
              <w:t>possible/appropriate.</w:t>
            </w:r>
          </w:p>
          <w:p w14:paraId="1753E861" w14:textId="77777777" w:rsidR="002F4908" w:rsidRDefault="002F4908" w:rsidP="002F4908">
            <w:pPr>
              <w:pStyle w:val="Body"/>
            </w:pPr>
            <w:r>
              <w:t>Undertake targeted outreach so Aboriginal and Torres Strait Islander businesses are aware of upcoming supply opportunities and have time to prepare a quote/offer.</w:t>
            </w:r>
          </w:p>
          <w:p w14:paraId="73F7C0AF" w14:textId="77777777" w:rsidR="002F4908" w:rsidRDefault="002F4908" w:rsidP="002F4908">
            <w:pPr>
              <w:pStyle w:val="Body"/>
            </w:pPr>
            <w:r>
              <w:t>Continue working with Aboriginal and Torres Strait Islander businesses to add them to Department of Education supply arrangements.</w:t>
            </w:r>
          </w:p>
          <w:p w14:paraId="1993418B" w14:textId="2344B614" w:rsidR="00341D06" w:rsidRPr="002F4908" w:rsidRDefault="002F4908" w:rsidP="002F4908">
            <w:pPr>
              <w:pStyle w:val="Body"/>
            </w:pPr>
            <w:r>
              <w:t xml:space="preserve">Facilitate introductions between Aboriginal and Torres Strait Islander businesses and local purchasing officers to build relationships and trust. </w:t>
            </w:r>
          </w:p>
        </w:tc>
      </w:tr>
    </w:tbl>
    <w:p w14:paraId="19F09FBA" w14:textId="77777777" w:rsidR="00341D06" w:rsidRPr="00341D06" w:rsidRDefault="00341D06" w:rsidP="00341D06">
      <w:pPr>
        <w:pStyle w:val="SubHeading"/>
      </w:pPr>
    </w:p>
    <w:p w14:paraId="51792485" w14:textId="77777777" w:rsidR="00341D06" w:rsidRPr="00341D06" w:rsidRDefault="00341D06" w:rsidP="00341D06">
      <w:pPr>
        <w:pStyle w:val="Body"/>
      </w:pPr>
    </w:p>
    <w:p w14:paraId="029AB172" w14:textId="77777777" w:rsidR="00341D06" w:rsidRPr="00341D06" w:rsidRDefault="00341D06" w:rsidP="00341D06">
      <w:pPr>
        <w:pStyle w:val="Body"/>
        <w:rPr>
          <w:b/>
          <w:bCs/>
        </w:rPr>
      </w:pPr>
    </w:p>
    <w:p w14:paraId="4AD9768F" w14:textId="77777777" w:rsidR="00341D06" w:rsidRPr="00341D06" w:rsidRDefault="00341D06" w:rsidP="00341D06">
      <w:pPr>
        <w:pStyle w:val="Body"/>
      </w:pPr>
    </w:p>
    <w:p w14:paraId="6D0054F3" w14:textId="77777777" w:rsidR="00341D06" w:rsidRPr="00341D06" w:rsidRDefault="00341D06" w:rsidP="00341D06">
      <w:pPr>
        <w:pStyle w:val="Body"/>
      </w:pPr>
    </w:p>
    <w:p w14:paraId="02824996" w14:textId="77777777" w:rsidR="00341D06" w:rsidRPr="00341D06" w:rsidRDefault="00341D06" w:rsidP="00341D06">
      <w:pPr>
        <w:pStyle w:val="Body"/>
      </w:pPr>
    </w:p>
    <w:p w14:paraId="63898481" w14:textId="77777777" w:rsidR="00341D06" w:rsidRPr="00341D06" w:rsidRDefault="00341D06" w:rsidP="00341D06">
      <w:pPr>
        <w:pStyle w:val="Body"/>
      </w:pPr>
    </w:p>
    <w:sectPr w:rsidR="00341D06" w:rsidRPr="00341D06" w:rsidSect="0000214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etaPro-Medi">
    <w:altName w:val="Calibri"/>
    <w:charset w:val="4D"/>
    <w:family w:val="auto"/>
    <w:pitch w:val="default"/>
    <w:sig w:usb0="00000003" w:usb1="00000000" w:usb2="00000000" w:usb3="00000000" w:csb0="00000001" w:csb1="00000000"/>
  </w:font>
  <w:font w:name="MetaPro-Norm">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etaPro-Bold">
    <w:altName w:val="Calibri"/>
    <w:charset w:val="4D"/>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0"/>
    <w:rsid w:val="00002140"/>
    <w:rsid w:val="00021052"/>
    <w:rsid w:val="00120242"/>
    <w:rsid w:val="001A205A"/>
    <w:rsid w:val="002E70EA"/>
    <w:rsid w:val="002F4908"/>
    <w:rsid w:val="00341D06"/>
    <w:rsid w:val="003930A7"/>
    <w:rsid w:val="004A5FE5"/>
    <w:rsid w:val="00830DD2"/>
    <w:rsid w:val="0083395B"/>
    <w:rsid w:val="008E1531"/>
    <w:rsid w:val="00C050FE"/>
    <w:rsid w:val="00DC182D"/>
    <w:rsid w:val="00EB1988"/>
    <w:rsid w:val="00F377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045F"/>
  <w15:chartTrackingRefBased/>
  <w15:docId w15:val="{F1D3D819-F5F7-654C-BE62-16C8F518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02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002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1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1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1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1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002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140"/>
    <w:rPr>
      <w:rFonts w:eastAsiaTheme="majorEastAsia" w:cstheme="majorBidi"/>
      <w:color w:val="272727" w:themeColor="text1" w:themeTint="D8"/>
    </w:rPr>
  </w:style>
  <w:style w:type="paragraph" w:styleId="Title">
    <w:name w:val="Title"/>
    <w:basedOn w:val="Normal"/>
    <w:next w:val="Normal"/>
    <w:link w:val="TitleChar"/>
    <w:uiPriority w:val="10"/>
    <w:qFormat/>
    <w:rsid w:val="000021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1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1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140"/>
    <w:rPr>
      <w:i/>
      <w:iCs/>
      <w:color w:val="404040" w:themeColor="text1" w:themeTint="BF"/>
    </w:rPr>
  </w:style>
  <w:style w:type="paragraph" w:styleId="ListParagraph">
    <w:name w:val="List Paragraph"/>
    <w:basedOn w:val="Normal"/>
    <w:uiPriority w:val="34"/>
    <w:qFormat/>
    <w:rsid w:val="00002140"/>
    <w:pPr>
      <w:ind w:left="720"/>
      <w:contextualSpacing/>
    </w:pPr>
  </w:style>
  <w:style w:type="character" w:styleId="IntenseEmphasis">
    <w:name w:val="Intense Emphasis"/>
    <w:basedOn w:val="DefaultParagraphFont"/>
    <w:uiPriority w:val="21"/>
    <w:qFormat/>
    <w:rsid w:val="00002140"/>
    <w:rPr>
      <w:i/>
      <w:iCs/>
      <w:color w:val="0F4761" w:themeColor="accent1" w:themeShade="BF"/>
    </w:rPr>
  </w:style>
  <w:style w:type="paragraph" w:styleId="IntenseQuote">
    <w:name w:val="Intense Quote"/>
    <w:basedOn w:val="Normal"/>
    <w:next w:val="Normal"/>
    <w:link w:val="IntenseQuoteChar"/>
    <w:uiPriority w:val="30"/>
    <w:qFormat/>
    <w:rsid w:val="00002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140"/>
    <w:rPr>
      <w:i/>
      <w:iCs/>
      <w:color w:val="0F4761" w:themeColor="accent1" w:themeShade="BF"/>
    </w:rPr>
  </w:style>
  <w:style w:type="character" w:styleId="IntenseReference">
    <w:name w:val="Intense Reference"/>
    <w:basedOn w:val="DefaultParagraphFont"/>
    <w:uiPriority w:val="32"/>
    <w:qFormat/>
    <w:rsid w:val="00002140"/>
    <w:rPr>
      <w:b/>
      <w:bCs/>
      <w:smallCaps/>
      <w:color w:val="0F4761" w:themeColor="accent1" w:themeShade="BF"/>
      <w:spacing w:val="5"/>
    </w:rPr>
  </w:style>
  <w:style w:type="paragraph" w:customStyle="1" w:styleId="Heading">
    <w:name w:val="Heading"/>
    <w:basedOn w:val="Normal"/>
    <w:qFormat/>
    <w:rsid w:val="002E70EA"/>
    <w:pPr>
      <w:spacing w:line="276" w:lineRule="auto"/>
    </w:pPr>
    <w:rPr>
      <w:b/>
      <w:bCs/>
      <w:sz w:val="48"/>
      <w:szCs w:val="48"/>
    </w:rPr>
  </w:style>
  <w:style w:type="paragraph" w:customStyle="1" w:styleId="SubHeading1">
    <w:name w:val="Sub Heading 1"/>
    <w:basedOn w:val="Normal"/>
    <w:uiPriority w:val="99"/>
    <w:rsid w:val="00002140"/>
    <w:pPr>
      <w:suppressAutoHyphens/>
      <w:autoSpaceDE w:val="0"/>
      <w:autoSpaceDN w:val="0"/>
      <w:adjustRightInd w:val="0"/>
      <w:spacing w:after="113" w:line="400" w:lineRule="atLeast"/>
      <w:textAlignment w:val="center"/>
    </w:pPr>
    <w:rPr>
      <w:rFonts w:ascii="MetaPro-Medi" w:hAnsi="MetaPro-Medi" w:cs="MetaPro-Medi"/>
      <w:color w:val="122D51"/>
      <w:kern w:val="0"/>
      <w:sz w:val="32"/>
      <w:szCs w:val="32"/>
      <w:lang w:val="en-US"/>
    </w:rPr>
  </w:style>
  <w:style w:type="paragraph" w:customStyle="1" w:styleId="BodyCopy">
    <w:name w:val="Body Copy"/>
    <w:basedOn w:val="Normal"/>
    <w:uiPriority w:val="99"/>
    <w:rsid w:val="00002140"/>
    <w:pPr>
      <w:suppressAutoHyphens/>
      <w:autoSpaceDE w:val="0"/>
      <w:autoSpaceDN w:val="0"/>
      <w:adjustRightInd w:val="0"/>
      <w:spacing w:after="170" w:line="288" w:lineRule="auto"/>
      <w:textAlignment w:val="center"/>
    </w:pPr>
    <w:rPr>
      <w:rFonts w:ascii="MetaPro-Norm" w:hAnsi="MetaPro-Norm" w:cs="MetaPro-Norm"/>
      <w:color w:val="122D51"/>
      <w:kern w:val="0"/>
      <w:sz w:val="20"/>
      <w:szCs w:val="20"/>
      <w:lang w:val="en-US"/>
    </w:rPr>
  </w:style>
  <w:style w:type="paragraph" w:customStyle="1" w:styleId="SubHeading">
    <w:name w:val="Sub Heading"/>
    <w:basedOn w:val="Normal"/>
    <w:qFormat/>
    <w:rsid w:val="00002140"/>
    <w:pPr>
      <w:suppressAutoHyphens/>
      <w:autoSpaceDE w:val="0"/>
      <w:autoSpaceDN w:val="0"/>
      <w:adjustRightInd w:val="0"/>
      <w:spacing w:after="227" w:line="480" w:lineRule="atLeast"/>
      <w:textAlignment w:val="center"/>
      <w:outlineLvl w:val="1"/>
    </w:pPr>
    <w:rPr>
      <w:rFonts w:ascii="Arial" w:hAnsi="Arial" w:cs="Arial"/>
      <w:b/>
      <w:bCs/>
      <w:color w:val="000000" w:themeColor="text1"/>
      <w:kern w:val="0"/>
      <w:sz w:val="28"/>
      <w:szCs w:val="28"/>
      <w:lang w:val="en-US"/>
    </w:rPr>
  </w:style>
  <w:style w:type="paragraph" w:customStyle="1" w:styleId="Body">
    <w:name w:val="Body"/>
    <w:basedOn w:val="Normal"/>
    <w:qFormat/>
    <w:rsid w:val="00002140"/>
    <w:pPr>
      <w:suppressAutoHyphens/>
      <w:autoSpaceDE w:val="0"/>
      <w:autoSpaceDN w:val="0"/>
      <w:adjustRightInd w:val="0"/>
      <w:spacing w:after="113" w:line="276" w:lineRule="auto"/>
      <w:textAlignment w:val="center"/>
    </w:pPr>
    <w:rPr>
      <w:rFonts w:ascii="Arial" w:hAnsi="Arial" w:cs="Arial"/>
      <w:color w:val="000000" w:themeColor="text1"/>
      <w:kern w:val="0"/>
      <w:lang w:val="en-US"/>
    </w:rPr>
  </w:style>
  <w:style w:type="paragraph" w:customStyle="1" w:styleId="BasicParagraph">
    <w:name w:val="[Basic Paragraph]"/>
    <w:basedOn w:val="Normal"/>
    <w:uiPriority w:val="99"/>
    <w:rsid w:val="00341D06"/>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White">
    <w:name w:val="White"/>
    <w:uiPriority w:val="99"/>
    <w:rsid w:val="00341D06"/>
    <w:rPr>
      <w:outline/>
    </w:rPr>
  </w:style>
  <w:style w:type="character" w:customStyle="1" w:styleId="Dark">
    <w:name w:val="Dark"/>
    <w:uiPriority w:val="99"/>
    <w:rsid w:val="00341D06"/>
    <w:rPr>
      <w:color w:val="00003D"/>
    </w:rPr>
  </w:style>
  <w:style w:type="table" w:styleId="TableGrid">
    <w:name w:val="Table Grid"/>
    <w:basedOn w:val="TableNormal"/>
    <w:uiPriority w:val="39"/>
    <w:rsid w:val="0034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py">
    <w:name w:val="Bold Copy"/>
    <w:basedOn w:val="Normal"/>
    <w:uiPriority w:val="99"/>
    <w:rsid w:val="00341D06"/>
    <w:pPr>
      <w:suppressAutoHyphens/>
      <w:autoSpaceDE w:val="0"/>
      <w:autoSpaceDN w:val="0"/>
      <w:adjustRightInd w:val="0"/>
      <w:spacing w:after="454" w:line="288" w:lineRule="auto"/>
      <w:textAlignment w:val="center"/>
    </w:pPr>
    <w:rPr>
      <w:rFonts w:ascii="MetaPro-Bold" w:hAnsi="MetaPro-Bold" w:cs="MetaPro-Bold"/>
      <w:b/>
      <w:bCs/>
      <w:color w:val="FFFFFF"/>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EEC50DBF51E45939B7BA93893F89B" ma:contentTypeVersion="1" ma:contentTypeDescription="Create a new document." ma:contentTypeScope="" ma:versionID="377a8ca9d705fd7513e02a06c3a80339">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MCINTOSH, Alex</DisplayName>
        <AccountId>27</AccountId>
        <AccountType/>
      </UserInfo>
    </PPModeratedBy>
    <PPContentApprover xmlns="cb3c87a9-729f-4b5b-b995-78be8b1e41f4">
      <UserInfo>
        <DisplayName/>
        <AccountId xsi:nil="true"/>
        <AccountType/>
      </UserInfo>
    </PPContentApprover>
    <PPModeratedDate xmlns="cb3c87a9-729f-4b5b-b995-78be8b1e41f4">2024-09-11T23:56:01+00:00</PPModeratedDate>
    <PPLastReviewedBy xmlns="cb3c87a9-729f-4b5b-b995-78be8b1e41f4">
      <UserInfo>
        <DisplayName>MCINTOSH, Alex</DisplayName>
        <AccountId>27</AccountId>
        <AccountType/>
      </UserInfo>
    </PPLastReviewedBy>
    <PPContentOwner xmlns="cb3c87a9-729f-4b5b-b995-78be8b1e41f4">
      <UserInfo>
        <DisplayName/>
        <AccountId xsi:nil="true"/>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2024-09-11T23:56:02+00:00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72CACB01-2FF3-416D-8D2D-904C2111F012}"/>
</file>

<file path=customXml/itemProps2.xml><?xml version="1.0" encoding="utf-8"?>
<ds:datastoreItem xmlns:ds="http://schemas.openxmlformats.org/officeDocument/2006/customXml" ds:itemID="{D11771F8-0EB9-49A5-A08C-B2B5D00E6FF8}"/>
</file>

<file path=customXml/itemProps3.xml><?xml version="1.0" encoding="utf-8"?>
<ds:datastoreItem xmlns:ds="http://schemas.openxmlformats.org/officeDocument/2006/customXml" ds:itemID="{B4F387BE-BC1C-41D6-8F70-6EFDAC4294A3}"/>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Procurement action plan 2024-25</dc:title>
  <dc:subject>Aboriginal and Torres Strait Islander Procurement action plan 2024-25</dc:subject>
  <dc:creator>Queensland Government</dc:creator>
  <cp:keywords>Aboriginal and Torres Strait Islander; Procurement action plan; 2024-25</cp:keywords>
  <dc:description/>
  <cp:revision>2</cp:revision>
  <dcterms:created xsi:type="dcterms:W3CDTF">2024-08-28T03:35:00Z</dcterms:created>
  <dcterms:modified xsi:type="dcterms:W3CDTF">2024-08-28T03:35:00Z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0x010100AFCEEC50DBF51E45939B7BA93893F89B</vt:lpwstr>
  </property>
</Properties>
</file>