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C6" w:rsidRPr="0057014E" w:rsidRDefault="00856DEE" w:rsidP="00D943C3">
      <w:pPr>
        <w:pStyle w:val="ListBullet"/>
        <w:numPr>
          <w:ilvl w:val="0"/>
          <w:numId w:val="0"/>
        </w:numPr>
        <w:ind w:left="-567"/>
        <w:jc w:val="both"/>
        <w:rPr>
          <w:b/>
          <w:color w:val="00B050"/>
          <w:sz w:val="21"/>
        </w:rPr>
      </w:pPr>
      <w:r w:rsidRPr="00191CB3">
        <w:rPr>
          <w:noProof/>
          <w:color w:val="10C110"/>
          <w:sz w:val="18"/>
          <w:lang w:eastAsia="zh-CN"/>
        </w:rPr>
        <mc:AlternateContent>
          <mc:Choice Requires="wps">
            <w:drawing>
              <wp:anchor distT="0" distB="0" distL="114300" distR="114300" simplePos="0" relativeHeight="251663360" behindDoc="0" locked="0" layoutInCell="1" allowOverlap="1" wp14:anchorId="6E4A8E07" wp14:editId="3D37A059">
                <wp:simplePos x="0" y="0"/>
                <wp:positionH relativeFrom="column">
                  <wp:posOffset>-386715</wp:posOffset>
                </wp:positionH>
                <wp:positionV relativeFrom="line">
                  <wp:posOffset>-393065</wp:posOffset>
                </wp:positionV>
                <wp:extent cx="222885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288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6DEE" w:rsidRDefault="00093F52" w:rsidP="00856DEE">
                            <w:pPr>
                              <w:rPr>
                                <w:sz w:val="16"/>
                              </w:rPr>
                            </w:pPr>
                            <w:r>
                              <w:rPr>
                                <w:sz w:val="16"/>
                              </w:rPr>
                              <w:t xml:space="preserve">June </w:t>
                            </w:r>
                            <w:r w:rsidR="00856DEE">
                              <w:rPr>
                                <w:sz w:val="16"/>
                              </w:rPr>
                              <w:t>2017 • Standards of Evidence</w:t>
                            </w:r>
                          </w:p>
                          <w:p w:rsidR="00856DEE" w:rsidRPr="00856DEE" w:rsidRDefault="00856DE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45pt;margin-top:-30.95pt;width:175.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" fillcolor="white [3201]" strokecolor="white [3212]" strokeweight=".5pt">
                <v:textbox>
                  <w:txbxContent>
                    <w:p w:rsidR="00856DEE" w:rsidRDefault="00093F52" w:rsidP="00856DEE">
                      <w:pPr>
                        <w:rPr>
                          <w:sz w:val="16"/>
                        </w:rPr>
                      </w:pPr>
                      <w:r>
                        <w:rPr>
                          <w:sz w:val="16"/>
                        </w:rPr>
                        <w:t xml:space="preserve">June </w:t>
                      </w:r>
                      <w:r w:rsidR="00856DEE">
                        <w:rPr>
                          <w:sz w:val="16"/>
                        </w:rPr>
                        <w:t>2017 • Standards of Evidence</w:t>
                      </w:r>
                    </w:p>
                    <w:p w:rsidR="00856DEE" w:rsidRPr="00856DEE" w:rsidRDefault="00856DEE">
                      <w:pPr>
                        <w:rPr>
                          <w:sz w:val="16"/>
                          <w:szCs w:val="16"/>
                        </w:rPr>
                      </w:pPr>
                    </w:p>
                  </w:txbxContent>
                </v:textbox>
                <w10:wrap anchory="line"/>
              </v:shape>
            </w:pict>
          </mc:Fallback>
        </mc:AlternateContent>
      </w:r>
      <w:r w:rsidR="00D943C3" w:rsidRPr="00191CB3">
        <w:rPr>
          <w:noProof/>
          <w:color w:val="10C110"/>
          <w:sz w:val="18"/>
          <w:lang w:eastAsia="zh-CN"/>
        </w:rPr>
        <mc:AlternateContent>
          <mc:Choice Requires="wps">
            <w:drawing>
              <wp:anchor distT="0" distB="0" distL="114300" distR="114300" simplePos="0" relativeHeight="251659264" behindDoc="0" locked="0" layoutInCell="1" allowOverlap="1" wp14:anchorId="6D183D7B" wp14:editId="55FB9257">
                <wp:simplePos x="0" y="0"/>
                <wp:positionH relativeFrom="column">
                  <wp:posOffset>5464810</wp:posOffset>
                </wp:positionH>
                <wp:positionV relativeFrom="line">
                  <wp:posOffset>-56515</wp:posOffset>
                </wp:positionV>
                <wp:extent cx="3238500" cy="5400000"/>
                <wp:effectExtent l="0" t="0" r="19050" b="10795"/>
                <wp:wrapNone/>
                <wp:docPr id="16" name="Text Box 16"/>
                <wp:cNvGraphicFramePr/>
                <a:graphic xmlns:a="http://schemas.openxmlformats.org/drawingml/2006/main">
                  <a:graphicData uri="http://schemas.microsoft.com/office/word/2010/wordprocessingShape">
                    <wps:wsp>
                      <wps:cNvSpPr txBox="1"/>
                      <wps:spPr>
                        <a:xfrm>
                          <a:off x="0" y="0"/>
                          <a:ext cx="3238500" cy="5400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943C3" w:rsidRDefault="00CC1197" w:rsidP="00CC1197">
                            <w:pPr>
                              <w:ind w:left="1134"/>
                            </w:pPr>
                            <w:r>
                              <w:rPr>
                                <w:noProof/>
                                <w:lang w:eastAsia="zh-CN"/>
                              </w:rPr>
                              <w:drawing>
                                <wp:inline distT="0" distB="0" distL="0" distR="0">
                                  <wp:extent cx="2130251" cy="4873011"/>
                                  <wp:effectExtent l="0" t="0" r="3810" b="3810"/>
                                  <wp:docPr id="2" name="Picture 2" descr="C:\Users\tmspa0\AppData\Local\Microsoft\Windows\Temporary Internet Files\Content.Outlook\QFZN8BVX\6.investment-2016-12-20-v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spa0\AppData\Local\Microsoft\Windows\Temporary Internet Files\Content.Outlook\QFZN8BVX\6.investment-2016-12-20-v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350" cy="4889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30.3pt;margin-top:-4.45pt;width:255pt;height:4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" fillcolor="white [3201]" strokecolor="white [3212]" strokeweight=".5pt">
                <v:textbox>
                  <w:txbxContent>
                    <w:p w:rsidR="00D943C3" w:rsidRDefault="00CC1197" w:rsidP="00CC1197">
                      <w:pPr>
                        <w:ind w:left="1134"/>
                      </w:pPr>
                      <w:r>
                        <w:rPr>
                          <w:noProof/>
                          <w:lang w:eastAsia="zh-CN"/>
                        </w:rPr>
                        <w:drawing>
                          <wp:inline distT="0" distB="0" distL="0" distR="0">
                            <wp:extent cx="2130251" cy="4873011"/>
                            <wp:effectExtent l="0" t="0" r="3810" b="3810"/>
                            <wp:docPr id="2" name="Picture 2" descr="C:\Users\tmspa0\AppData\Local\Microsoft\Windows\Temporary Internet Files\Content.Outlook\QFZN8BVX\6.investment-2016-12-20-v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spa0\AppData\Local\Microsoft\Windows\Temporary Internet Files\Content.Outlook\QFZN8BVX\6.investment-2016-12-20-v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350" cy="4889249"/>
                                    </a:xfrm>
                                    <a:prstGeom prst="rect">
                                      <a:avLst/>
                                    </a:prstGeom>
                                    <a:noFill/>
                                    <a:ln>
                                      <a:noFill/>
                                    </a:ln>
                                  </pic:spPr>
                                </pic:pic>
                              </a:graphicData>
                            </a:graphic>
                          </wp:inline>
                        </w:drawing>
                      </w:r>
                    </w:p>
                  </w:txbxContent>
                </v:textbox>
                <w10:wrap anchory="line"/>
              </v:shape>
            </w:pict>
          </mc:Fallback>
        </mc:AlternateContent>
      </w:r>
      <w:r w:rsidR="00C801C6" w:rsidRPr="00191CB3">
        <w:rPr>
          <w:b/>
          <w:color w:val="10C110"/>
          <w:sz w:val="40"/>
        </w:rPr>
        <w:t xml:space="preserve">Understanding </w:t>
      </w:r>
      <w:r w:rsidR="00B46B6F" w:rsidRPr="00191CB3">
        <w:rPr>
          <w:b/>
          <w:color w:val="10C110"/>
          <w:sz w:val="40"/>
        </w:rPr>
        <w:t xml:space="preserve">the </w:t>
      </w:r>
      <w:r w:rsidR="004932C5" w:rsidRPr="00191CB3">
        <w:rPr>
          <w:b/>
          <w:color w:val="10C110"/>
          <w:sz w:val="40"/>
        </w:rPr>
        <w:t>i</w:t>
      </w:r>
      <w:r w:rsidR="00B46B6F" w:rsidRPr="00191CB3">
        <w:rPr>
          <w:b/>
          <w:color w:val="10C110"/>
          <w:sz w:val="40"/>
        </w:rPr>
        <w:t>nvestm</w:t>
      </w:r>
      <w:r w:rsidR="00B46B6F" w:rsidRPr="00B65643">
        <w:rPr>
          <w:b/>
          <w:color w:val="10C110"/>
          <w:sz w:val="40"/>
        </w:rPr>
        <w:t xml:space="preserve">ent </w:t>
      </w:r>
      <w:r w:rsidR="004932C5" w:rsidRPr="00191CB3">
        <w:rPr>
          <w:b/>
          <w:color w:val="10C110"/>
          <w:sz w:val="40"/>
        </w:rPr>
        <w:t>d</w:t>
      </w:r>
      <w:r w:rsidR="00C801C6" w:rsidRPr="00191CB3">
        <w:rPr>
          <w:b/>
          <w:color w:val="10C110"/>
          <w:sz w:val="40"/>
        </w:rPr>
        <w:t>imension</w:t>
      </w:r>
    </w:p>
    <w:p w:rsidR="008F206B" w:rsidRPr="00F21011" w:rsidRDefault="008F206B" w:rsidP="005F1EC9">
      <w:pPr>
        <w:pStyle w:val="Heading1"/>
        <w:ind w:left="-851"/>
        <w:rPr>
          <w:color w:val="00B050"/>
          <w:sz w:val="21"/>
        </w:rPr>
        <w:sectPr w:rsidR="008F206B" w:rsidRPr="00F21011" w:rsidSect="00831630">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269" w:right="1440" w:bottom="1440" w:left="1134" w:header="709" w:footer="709" w:gutter="0"/>
          <w:cols w:space="708"/>
          <w:titlePg/>
          <w:docGrid w:linePitch="360"/>
        </w:sectPr>
      </w:pPr>
    </w:p>
    <w:p w:rsidR="00FC27A6" w:rsidRDefault="00CC1197" w:rsidP="00270EE5">
      <w:pPr>
        <w:pStyle w:val="ListBullet"/>
        <w:numPr>
          <w:ilvl w:val="0"/>
          <w:numId w:val="0"/>
        </w:numPr>
        <w:ind w:left="-851"/>
        <w:rPr>
          <w:sz w:val="21"/>
        </w:rPr>
      </w:pPr>
      <w:r>
        <w:rPr>
          <w:noProof/>
          <w:sz w:val="21"/>
          <w:lang w:eastAsia="zh-CN"/>
        </w:rPr>
        <w:lastRenderedPageBreak/>
        <mc:AlternateContent>
          <mc:Choice Requires="wps">
            <w:drawing>
              <wp:anchor distT="0" distB="0" distL="114300" distR="114300" simplePos="0" relativeHeight="251661312" behindDoc="0" locked="0" layoutInCell="1" allowOverlap="1" wp14:anchorId="43242C9C" wp14:editId="5DD03BAE">
                <wp:simplePos x="0" y="0"/>
                <wp:positionH relativeFrom="column">
                  <wp:posOffset>5618480</wp:posOffset>
                </wp:positionH>
                <wp:positionV relativeFrom="line">
                  <wp:posOffset>57785</wp:posOffset>
                </wp:positionV>
                <wp:extent cx="19050" cy="4006215"/>
                <wp:effectExtent l="76200" t="38100" r="57150" b="13335"/>
                <wp:wrapNone/>
                <wp:docPr id="3" name="Straight Arrow Connector 3"/>
                <wp:cNvGraphicFramePr/>
                <a:graphic xmlns:a="http://schemas.openxmlformats.org/drawingml/2006/main">
                  <a:graphicData uri="http://schemas.microsoft.com/office/word/2010/wordprocessingShape">
                    <wps:wsp>
                      <wps:cNvCnPr/>
                      <wps:spPr>
                        <a:xfrm flipV="1">
                          <a:off x="0" y="0"/>
                          <a:ext cx="19050" cy="4006215"/>
                        </a:xfrm>
                        <a:prstGeom prst="straightConnector1">
                          <a:avLst/>
                        </a:prstGeom>
                        <a:ln>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42.4pt;margin-top:4.55pt;width:1.5pt;height:315.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" strokecolor="#bfbfbf [2412]">
                <v:stroke endarrow="open"/>
                <w10:wrap anchory="line"/>
              </v:shape>
            </w:pict>
          </mc:Fallback>
        </mc:AlternateContent>
      </w:r>
      <w:r w:rsidR="00FC27A6" w:rsidRPr="00FC27A6">
        <w:rPr>
          <w:sz w:val="21"/>
        </w:rPr>
        <w:t xml:space="preserve">The </w:t>
      </w:r>
      <w:r w:rsidR="006A28CA">
        <w:rPr>
          <w:sz w:val="21"/>
        </w:rPr>
        <w:t>invest</w:t>
      </w:r>
      <w:r w:rsidR="00D943C3">
        <w:rPr>
          <w:sz w:val="21"/>
        </w:rPr>
        <w:t>ment dimension</w:t>
      </w:r>
      <w:r w:rsidR="00B65643">
        <w:rPr>
          <w:sz w:val="21"/>
        </w:rPr>
        <w:t xml:space="preserve"> of the Standards of Evidence</w:t>
      </w:r>
      <w:r w:rsidR="00D943C3">
        <w:rPr>
          <w:sz w:val="21"/>
        </w:rPr>
        <w:t xml:space="preserve"> provides information about the cost</w:t>
      </w:r>
      <w:r w:rsidR="00D15714">
        <w:rPr>
          <w:sz w:val="21"/>
        </w:rPr>
        <w:t xml:space="preserve"> and value</w:t>
      </w:r>
      <w:r w:rsidR="00D943C3">
        <w:rPr>
          <w:sz w:val="21"/>
        </w:rPr>
        <w:t xml:space="preserve"> of an initiative. </w:t>
      </w:r>
    </w:p>
    <w:p w:rsidR="006567B9" w:rsidRDefault="006567B9" w:rsidP="00270EE5">
      <w:pPr>
        <w:pStyle w:val="ListBullet"/>
        <w:numPr>
          <w:ilvl w:val="0"/>
          <w:numId w:val="0"/>
        </w:numPr>
        <w:ind w:left="-851"/>
        <w:rPr>
          <w:sz w:val="21"/>
        </w:rPr>
      </w:pPr>
    </w:p>
    <w:p w:rsidR="006567B9" w:rsidRDefault="006567B9" w:rsidP="00270EE5">
      <w:pPr>
        <w:pStyle w:val="ListBullet"/>
        <w:numPr>
          <w:ilvl w:val="0"/>
          <w:numId w:val="0"/>
        </w:numPr>
        <w:ind w:left="-851"/>
        <w:rPr>
          <w:sz w:val="21"/>
        </w:rPr>
      </w:pPr>
      <w:r>
        <w:rPr>
          <w:sz w:val="21"/>
        </w:rPr>
        <w:t>Understanding the impact of initiatives relative to their costs can inform decisions about where best to invest our financial and human resources.</w:t>
      </w:r>
    </w:p>
    <w:p w:rsidR="00FC27A6" w:rsidRDefault="00FC27A6" w:rsidP="00270EE5">
      <w:pPr>
        <w:pStyle w:val="ListBullet"/>
        <w:numPr>
          <w:ilvl w:val="0"/>
          <w:numId w:val="0"/>
        </w:numPr>
        <w:ind w:left="-851"/>
        <w:rPr>
          <w:sz w:val="21"/>
        </w:rPr>
      </w:pPr>
    </w:p>
    <w:p w:rsidR="00856DEE" w:rsidRDefault="00D15714" w:rsidP="00270EE5">
      <w:pPr>
        <w:pStyle w:val="ListBullet"/>
        <w:numPr>
          <w:ilvl w:val="0"/>
          <w:numId w:val="0"/>
        </w:numPr>
        <w:ind w:left="-851"/>
        <w:rPr>
          <w:sz w:val="21"/>
        </w:rPr>
      </w:pPr>
      <w:r>
        <w:rPr>
          <w:sz w:val="21"/>
        </w:rPr>
        <w:t xml:space="preserve">The investment dimension contains five levels indicating the </w:t>
      </w:r>
      <w:r w:rsidR="00270EE5">
        <w:rPr>
          <w:sz w:val="21"/>
        </w:rPr>
        <w:t xml:space="preserve">degree </w:t>
      </w:r>
      <w:r w:rsidR="006567B9">
        <w:rPr>
          <w:sz w:val="21"/>
        </w:rPr>
        <w:t xml:space="preserve">of </w:t>
      </w:r>
      <w:r w:rsidR="00CC1197">
        <w:rPr>
          <w:noProof/>
          <w:sz w:val="21"/>
          <w:lang w:eastAsia="zh-CN"/>
        </w:rPr>
        <mc:AlternateContent>
          <mc:Choice Requires="wps">
            <w:drawing>
              <wp:anchor distT="0" distB="0" distL="114300" distR="114300" simplePos="0" relativeHeight="251662336" behindDoc="0" locked="0" layoutInCell="1" allowOverlap="1" wp14:anchorId="745B7F56" wp14:editId="7530F416">
                <wp:simplePos x="0" y="0"/>
                <wp:positionH relativeFrom="column">
                  <wp:posOffset>5019675</wp:posOffset>
                </wp:positionH>
                <wp:positionV relativeFrom="line">
                  <wp:posOffset>37465</wp:posOffset>
                </wp:positionV>
                <wp:extent cx="476250" cy="1238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6250" cy="1238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1797" w:rsidRDefault="00941797">
                            <w:r w:rsidRPr="00941797">
                              <w:rPr>
                                <w:b/>
                                <w:sz w:val="21"/>
                                <w:szCs w:val="21"/>
                              </w:rPr>
                              <w:t>Strength of 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95.25pt;margin-top:2.95pt;width:3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" fillcolor="white [3201]" strokecolor="white [3212]" strokeweight=".5pt">
                <v:textbox style="layout-flow:vertical;mso-layout-flow-alt:bottom-to-top">
                  <w:txbxContent>
                    <w:p w:rsidR="00941797" w:rsidRDefault="00941797">
                      <w:r w:rsidRPr="00941797">
                        <w:rPr>
                          <w:b/>
                          <w:sz w:val="21"/>
                          <w:szCs w:val="21"/>
                        </w:rPr>
                        <w:t>Strength of Evidence</w:t>
                      </w:r>
                    </w:p>
                  </w:txbxContent>
                </v:textbox>
                <w10:wrap anchory="line"/>
              </v:shape>
            </w:pict>
          </mc:Fallback>
        </mc:AlternateContent>
      </w:r>
      <w:r w:rsidR="006567B9">
        <w:rPr>
          <w:sz w:val="21"/>
        </w:rPr>
        <w:t>information about cost, with the higher levels also considering value</w:t>
      </w:r>
      <w:r>
        <w:rPr>
          <w:sz w:val="21"/>
        </w:rPr>
        <w:t xml:space="preserve">. </w:t>
      </w:r>
      <w:r w:rsidR="00E221F5">
        <w:rPr>
          <w:sz w:val="21"/>
        </w:rPr>
        <w:t>(See diagram to the right)</w:t>
      </w:r>
    </w:p>
    <w:p w:rsidR="00856DEE" w:rsidRDefault="00856DEE" w:rsidP="00270EE5">
      <w:pPr>
        <w:pStyle w:val="ListBullet"/>
        <w:numPr>
          <w:ilvl w:val="0"/>
          <w:numId w:val="0"/>
        </w:numPr>
        <w:ind w:left="-851"/>
        <w:rPr>
          <w:sz w:val="21"/>
        </w:rPr>
      </w:pPr>
    </w:p>
    <w:p w:rsidR="00D15714" w:rsidRDefault="00D15714" w:rsidP="00270EE5">
      <w:pPr>
        <w:pStyle w:val="ListBullet"/>
        <w:numPr>
          <w:ilvl w:val="0"/>
          <w:numId w:val="0"/>
        </w:numPr>
        <w:ind w:left="-851"/>
        <w:rPr>
          <w:sz w:val="21"/>
        </w:rPr>
      </w:pPr>
      <w:r>
        <w:rPr>
          <w:sz w:val="21"/>
        </w:rPr>
        <w:t>Levels one and two</w:t>
      </w:r>
      <w:r w:rsidR="006567B9">
        <w:rPr>
          <w:sz w:val="21"/>
        </w:rPr>
        <w:t xml:space="preserve"> demonstrate an understanding of the costs of an initiative. Levels three and four demonstrate there is information regarding the value or return on that cost. At level five, there is information comparing the costs and value of an initiative.</w:t>
      </w:r>
      <w:r w:rsidR="005D1F06">
        <w:rPr>
          <w:sz w:val="21"/>
        </w:rPr>
        <w:t xml:space="preserve"> The levels</w:t>
      </w:r>
      <w:r w:rsidR="006567B9">
        <w:rPr>
          <w:sz w:val="21"/>
        </w:rPr>
        <w:t xml:space="preserve"> </w:t>
      </w:r>
      <w:r w:rsidR="00BA5E86">
        <w:rPr>
          <w:sz w:val="21"/>
        </w:rPr>
        <w:t xml:space="preserve">do not </w:t>
      </w:r>
      <w:r w:rsidR="005D1F06">
        <w:rPr>
          <w:sz w:val="21"/>
        </w:rPr>
        <w:t xml:space="preserve">show </w:t>
      </w:r>
      <w:r w:rsidR="00BA5E86">
        <w:rPr>
          <w:sz w:val="21"/>
        </w:rPr>
        <w:t>increasing cost-effectiveness.</w:t>
      </w:r>
    </w:p>
    <w:p w:rsidR="00D15714" w:rsidRDefault="00D15714" w:rsidP="00270EE5">
      <w:pPr>
        <w:pStyle w:val="ListBullet"/>
        <w:numPr>
          <w:ilvl w:val="0"/>
          <w:numId w:val="0"/>
        </w:numPr>
        <w:ind w:left="-851"/>
        <w:rPr>
          <w:sz w:val="21"/>
        </w:rPr>
      </w:pPr>
    </w:p>
    <w:p w:rsidR="00BA5E86" w:rsidRDefault="00BA5E86" w:rsidP="00270EE5">
      <w:pPr>
        <w:pStyle w:val="ListBullet"/>
        <w:numPr>
          <w:ilvl w:val="0"/>
          <w:numId w:val="0"/>
        </w:numPr>
        <w:ind w:left="-851"/>
        <w:rPr>
          <w:sz w:val="21"/>
        </w:rPr>
      </w:pPr>
      <w:r>
        <w:rPr>
          <w:sz w:val="21"/>
        </w:rPr>
        <w:t>The following pages provide e</w:t>
      </w:r>
      <w:r w:rsidRPr="00035179">
        <w:rPr>
          <w:sz w:val="21"/>
        </w:rPr>
        <w:t>xamples and case studies of how these levels can be applied</w:t>
      </w:r>
      <w:r>
        <w:rPr>
          <w:sz w:val="21"/>
        </w:rPr>
        <w:t>.</w:t>
      </w:r>
    </w:p>
    <w:p w:rsidR="004A16D1" w:rsidRDefault="004A16D1" w:rsidP="006567B9">
      <w:pPr>
        <w:pStyle w:val="ListBullet"/>
        <w:numPr>
          <w:ilvl w:val="0"/>
          <w:numId w:val="0"/>
        </w:numPr>
        <w:ind w:left="-851"/>
        <w:jc w:val="both"/>
        <w:rPr>
          <w:color w:val="00B050"/>
        </w:rPr>
      </w:pPr>
      <w:r>
        <w:rPr>
          <w:noProof/>
          <w:color w:val="00B050"/>
          <w:lang w:eastAsia="zh-CN"/>
        </w:rPr>
        <mc:AlternateContent>
          <mc:Choice Requires="wps">
            <w:drawing>
              <wp:anchor distT="0" distB="0" distL="114300" distR="114300" simplePos="0" relativeHeight="251660288" behindDoc="0" locked="0" layoutInCell="1" allowOverlap="1" wp14:anchorId="3330A652" wp14:editId="6C696EC7">
                <wp:simplePos x="0" y="0"/>
                <wp:positionH relativeFrom="column">
                  <wp:posOffset>-577850</wp:posOffset>
                </wp:positionH>
                <wp:positionV relativeFrom="line">
                  <wp:posOffset>188595</wp:posOffset>
                </wp:positionV>
                <wp:extent cx="5073650" cy="793750"/>
                <wp:effectExtent l="0" t="0" r="12700" b="25400"/>
                <wp:wrapNone/>
                <wp:docPr id="18" name="Text Box 18"/>
                <wp:cNvGraphicFramePr/>
                <a:graphic xmlns:a="http://schemas.openxmlformats.org/drawingml/2006/main">
                  <a:graphicData uri="http://schemas.microsoft.com/office/word/2010/wordprocessingShape">
                    <wps:wsp>
                      <wps:cNvSpPr txBox="1"/>
                      <wps:spPr>
                        <a:xfrm>
                          <a:off x="0" y="0"/>
                          <a:ext cx="5073650" cy="793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16D1" w:rsidRDefault="004A16D1">
                            <w:r>
                              <w:rPr>
                                <w:noProof/>
                                <w:lang w:eastAsia="zh-CN"/>
                              </w:rPr>
                              <w:drawing>
                                <wp:inline distT="0" distB="0" distL="0" distR="0" wp14:anchorId="4137735E" wp14:editId="0751BA4A">
                                  <wp:extent cx="4667250" cy="665569"/>
                                  <wp:effectExtent l="0" t="0" r="0" b="1270"/>
                                  <wp:docPr id="19" name="Picture 19" descr="C:\Users\tmspa0\AppData\Local\Microsoft\Windows\Temporary Internet Files\Content.Outlook\QFZN8BVX\2.dimensions-new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spa0\AppData\Local\Microsoft\Windows\Temporary Internet Files\Content.Outlook\QFZN8BVX\2.dimensions-new desig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8387" cy="6657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45.5pt;margin-top:14.85pt;width:399.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" fillcolor="white [3201]" strokecolor="white [3212]" strokeweight=".5pt">
                <v:textbox>
                  <w:txbxContent>
                    <w:p w:rsidR="004A16D1" w:rsidRDefault="004A16D1">
                      <w:r>
                        <w:rPr>
                          <w:noProof/>
                          <w:lang w:eastAsia="zh-CN"/>
                        </w:rPr>
                        <w:drawing>
                          <wp:inline distT="0" distB="0" distL="0" distR="0" wp14:anchorId="4DE0CECE" wp14:editId="446A8B61">
                            <wp:extent cx="4667250" cy="665569"/>
                            <wp:effectExtent l="0" t="0" r="0" b="1270"/>
                            <wp:docPr id="19" name="Picture 19" descr="C:\Users\tmspa0\AppData\Local\Microsoft\Windows\Temporary Internet Files\Content.Outlook\QFZN8BVX\2.dimensions-new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spa0\AppData\Local\Microsoft\Windows\Temporary Internet Files\Content.Outlook\QFZN8BVX\2.dimensions-new desig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8387" cy="665731"/>
                                    </a:xfrm>
                                    <a:prstGeom prst="rect">
                                      <a:avLst/>
                                    </a:prstGeom>
                                    <a:noFill/>
                                    <a:ln>
                                      <a:noFill/>
                                    </a:ln>
                                  </pic:spPr>
                                </pic:pic>
                              </a:graphicData>
                            </a:graphic>
                          </wp:inline>
                        </w:drawing>
                      </w:r>
                    </w:p>
                  </w:txbxContent>
                </v:textbox>
                <w10:wrap anchory="line"/>
              </v:shape>
            </w:pict>
          </mc:Fallback>
        </mc:AlternateContent>
      </w:r>
    </w:p>
    <w:p w:rsidR="004A16D1" w:rsidRDefault="004A16D1" w:rsidP="007039DB">
      <w:pPr>
        <w:pStyle w:val="Heading2"/>
        <w:spacing w:before="0" w:after="0" w:line="240" w:lineRule="auto"/>
        <w:ind w:left="-851"/>
        <w:rPr>
          <w:color w:val="00B050"/>
        </w:rPr>
      </w:pPr>
    </w:p>
    <w:p w:rsidR="004A16D1" w:rsidRDefault="004A16D1" w:rsidP="007039DB">
      <w:pPr>
        <w:pStyle w:val="Heading2"/>
        <w:spacing w:before="0" w:after="0" w:line="240" w:lineRule="auto"/>
        <w:ind w:left="-851"/>
        <w:rPr>
          <w:color w:val="00B050"/>
        </w:rPr>
      </w:pPr>
    </w:p>
    <w:p w:rsidR="004A16D1" w:rsidRDefault="004A16D1" w:rsidP="007039DB">
      <w:pPr>
        <w:pStyle w:val="Heading2"/>
        <w:spacing w:before="0" w:after="0" w:line="240" w:lineRule="auto"/>
        <w:ind w:left="-851"/>
        <w:rPr>
          <w:color w:val="00B050"/>
        </w:rPr>
      </w:pPr>
    </w:p>
    <w:p w:rsidR="004A16D1" w:rsidRDefault="004A16D1" w:rsidP="007039DB">
      <w:pPr>
        <w:pStyle w:val="Heading2"/>
        <w:spacing w:before="0" w:after="0" w:line="240" w:lineRule="auto"/>
        <w:ind w:left="-851"/>
        <w:rPr>
          <w:color w:val="00B050"/>
        </w:rPr>
      </w:pPr>
    </w:p>
    <w:p w:rsidR="003F5DCD" w:rsidRPr="00B65643" w:rsidRDefault="00C801C6" w:rsidP="007039DB">
      <w:pPr>
        <w:pStyle w:val="Heading2"/>
        <w:spacing w:before="0" w:after="0" w:line="240" w:lineRule="auto"/>
        <w:ind w:left="-851"/>
        <w:rPr>
          <w:color w:val="10C110"/>
          <w:sz w:val="28"/>
          <w:szCs w:val="28"/>
        </w:rPr>
      </w:pPr>
      <w:r w:rsidRPr="00831630">
        <w:rPr>
          <w:color w:val="00B050"/>
        </w:rPr>
        <w:br w:type="page"/>
      </w:r>
      <w:r w:rsidR="00FD285F" w:rsidRPr="00B65643">
        <w:rPr>
          <w:color w:val="10C110"/>
        </w:rPr>
        <w:lastRenderedPageBreak/>
        <w:t>Understanding the</w:t>
      </w:r>
      <w:r w:rsidR="003F5DCD" w:rsidRPr="00B65643">
        <w:rPr>
          <w:color w:val="10C110"/>
        </w:rPr>
        <w:t xml:space="preserve"> </w:t>
      </w:r>
      <w:r w:rsidR="00B46B6F" w:rsidRPr="00B65643">
        <w:rPr>
          <w:color w:val="10C110"/>
        </w:rPr>
        <w:t>levels</w:t>
      </w:r>
      <w:r w:rsidR="004932C5" w:rsidRPr="00B65643">
        <w:rPr>
          <w:color w:val="10C110"/>
        </w:rPr>
        <w:t xml:space="preserve"> </w:t>
      </w:r>
    </w:p>
    <w:p w:rsidR="00FD285F" w:rsidRDefault="00FD285F" w:rsidP="003F5DCD">
      <w:pPr>
        <w:jc w:val="both"/>
        <w:rPr>
          <w:sz w:val="18"/>
          <w:szCs w:val="18"/>
        </w:rPr>
      </w:pPr>
    </w:p>
    <w:p w:rsidR="00D47147" w:rsidRPr="009767C2" w:rsidRDefault="00FC0F9A" w:rsidP="00B65643">
      <w:pPr>
        <w:ind w:left="-851"/>
        <w:rPr>
          <w:sz w:val="21"/>
          <w:szCs w:val="21"/>
        </w:rPr>
      </w:pPr>
      <w:r w:rsidRPr="009767C2">
        <w:rPr>
          <w:sz w:val="21"/>
          <w:szCs w:val="21"/>
        </w:rPr>
        <w:t xml:space="preserve">When calculating investment, it is important to exclude usual operating costs (e.g. teacher’s </w:t>
      </w:r>
      <w:r w:rsidR="0000539C" w:rsidRPr="009767C2">
        <w:rPr>
          <w:sz w:val="21"/>
          <w:szCs w:val="21"/>
        </w:rPr>
        <w:t>salary</w:t>
      </w:r>
      <w:r w:rsidRPr="009767C2">
        <w:rPr>
          <w:sz w:val="21"/>
          <w:szCs w:val="21"/>
        </w:rPr>
        <w:t>) and only include the costs</w:t>
      </w:r>
      <w:r w:rsidR="0000539C" w:rsidRPr="009767C2">
        <w:rPr>
          <w:sz w:val="21"/>
          <w:szCs w:val="21"/>
        </w:rPr>
        <w:t xml:space="preserve"> incurred in implementing</w:t>
      </w:r>
      <w:r w:rsidRPr="009767C2">
        <w:rPr>
          <w:sz w:val="21"/>
          <w:szCs w:val="21"/>
        </w:rPr>
        <w:t xml:space="preserve"> the initiative.</w:t>
      </w:r>
      <w:r w:rsidR="00035179" w:rsidRPr="009767C2">
        <w:rPr>
          <w:sz w:val="21"/>
          <w:szCs w:val="21"/>
        </w:rPr>
        <w:t xml:space="preserve"> </w:t>
      </w:r>
    </w:p>
    <w:p w:rsidR="00D47147" w:rsidRDefault="00D47147" w:rsidP="007039DB">
      <w:pPr>
        <w:ind w:left="-851"/>
        <w:jc w:val="both"/>
        <w:rPr>
          <w:sz w:val="20"/>
        </w:rPr>
      </w:pPr>
    </w:p>
    <w:p w:rsidR="00750DC3" w:rsidRPr="00B65643" w:rsidRDefault="000B1D9A" w:rsidP="007039DB">
      <w:pPr>
        <w:spacing w:after="120"/>
        <w:ind w:left="-851"/>
        <w:jc w:val="both"/>
        <w:rPr>
          <w:b/>
          <w:color w:val="10C110"/>
          <w:sz w:val="22"/>
          <w:szCs w:val="22"/>
        </w:rPr>
      </w:pPr>
      <w:r w:rsidRPr="00B65643">
        <w:rPr>
          <w:b/>
          <w:color w:val="10C110"/>
          <w:sz w:val="22"/>
          <w:szCs w:val="22"/>
        </w:rPr>
        <w:t>Unknown – level one</w:t>
      </w:r>
    </w:p>
    <w:p w:rsidR="00750DC3" w:rsidRPr="009767C2" w:rsidRDefault="006567B9" w:rsidP="00B65643">
      <w:pPr>
        <w:spacing w:after="120"/>
        <w:ind w:left="-851"/>
        <w:rPr>
          <w:sz w:val="21"/>
          <w:szCs w:val="21"/>
        </w:rPr>
      </w:pPr>
      <w:r w:rsidRPr="009767C2">
        <w:rPr>
          <w:sz w:val="21"/>
          <w:szCs w:val="21"/>
        </w:rPr>
        <w:t>At level one</w:t>
      </w:r>
      <w:r w:rsidR="00750DC3" w:rsidRPr="009767C2">
        <w:rPr>
          <w:sz w:val="21"/>
          <w:szCs w:val="21"/>
        </w:rPr>
        <w:t xml:space="preserve">, there is </w:t>
      </w:r>
      <w:r w:rsidRPr="009767C2">
        <w:rPr>
          <w:sz w:val="21"/>
          <w:szCs w:val="21"/>
        </w:rPr>
        <w:t>no</w:t>
      </w:r>
      <w:r w:rsidR="00E221F5">
        <w:rPr>
          <w:sz w:val="21"/>
          <w:szCs w:val="21"/>
        </w:rPr>
        <w:t>,</w:t>
      </w:r>
      <w:r w:rsidRPr="009767C2">
        <w:rPr>
          <w:sz w:val="21"/>
          <w:szCs w:val="21"/>
        </w:rPr>
        <w:t xml:space="preserve"> or limited</w:t>
      </w:r>
      <w:r w:rsidR="00750DC3" w:rsidRPr="009767C2">
        <w:rPr>
          <w:sz w:val="21"/>
          <w:szCs w:val="21"/>
        </w:rPr>
        <w:t xml:space="preserve"> information</w:t>
      </w:r>
      <w:r w:rsidR="00E221F5">
        <w:rPr>
          <w:sz w:val="21"/>
          <w:szCs w:val="21"/>
        </w:rPr>
        <w:t>,</w:t>
      </w:r>
      <w:r w:rsidR="00750DC3" w:rsidRPr="009767C2">
        <w:rPr>
          <w:sz w:val="21"/>
          <w:szCs w:val="21"/>
        </w:rPr>
        <w:t xml:space="preserve"> on costs. Level 1 may or may not include a description of the resources required, or an estimate of total costs. For example: </w:t>
      </w:r>
    </w:p>
    <w:p w:rsidR="00750DC3" w:rsidRPr="009767C2" w:rsidRDefault="00035179" w:rsidP="007039DB">
      <w:pPr>
        <w:numPr>
          <w:ilvl w:val="0"/>
          <w:numId w:val="4"/>
        </w:numPr>
        <w:ind w:left="-567" w:hanging="284"/>
        <w:jc w:val="both"/>
        <w:rPr>
          <w:sz w:val="21"/>
          <w:szCs w:val="21"/>
        </w:rPr>
      </w:pPr>
      <w:r w:rsidRPr="009767C2">
        <w:rPr>
          <w:sz w:val="21"/>
          <w:szCs w:val="21"/>
        </w:rPr>
        <w:t xml:space="preserve">Total </w:t>
      </w:r>
      <w:r w:rsidR="008812F0" w:rsidRPr="009767C2">
        <w:rPr>
          <w:sz w:val="21"/>
          <w:szCs w:val="21"/>
        </w:rPr>
        <w:t>staff time – 10 days</w:t>
      </w:r>
      <w:r w:rsidR="00750DC3" w:rsidRPr="009767C2">
        <w:rPr>
          <w:rFonts w:cs="Arial"/>
          <w:sz w:val="21"/>
          <w:szCs w:val="21"/>
        </w:rPr>
        <w:t>.</w:t>
      </w:r>
    </w:p>
    <w:p w:rsidR="00750DC3" w:rsidRDefault="00750DC3" w:rsidP="007039DB">
      <w:pPr>
        <w:ind w:left="-851"/>
        <w:jc w:val="both"/>
        <w:rPr>
          <w:sz w:val="18"/>
          <w:szCs w:val="18"/>
        </w:rPr>
      </w:pPr>
    </w:p>
    <w:p w:rsidR="00750DC3" w:rsidRPr="00B65643" w:rsidRDefault="000B1D9A" w:rsidP="007039DB">
      <w:pPr>
        <w:spacing w:after="120"/>
        <w:ind w:left="-851"/>
        <w:jc w:val="both"/>
        <w:rPr>
          <w:b/>
          <w:color w:val="10C110"/>
          <w:sz w:val="22"/>
          <w:szCs w:val="22"/>
        </w:rPr>
      </w:pPr>
      <w:r w:rsidRPr="00B65643">
        <w:rPr>
          <w:b/>
          <w:color w:val="10C110"/>
          <w:sz w:val="22"/>
          <w:szCs w:val="22"/>
        </w:rPr>
        <w:t>Costs known – level two</w:t>
      </w:r>
    </w:p>
    <w:p w:rsidR="00750DC3" w:rsidRPr="009767C2" w:rsidRDefault="0000539C" w:rsidP="00B65643">
      <w:pPr>
        <w:spacing w:after="120"/>
        <w:ind w:left="-851"/>
        <w:rPr>
          <w:sz w:val="21"/>
          <w:szCs w:val="21"/>
        </w:rPr>
      </w:pPr>
      <w:r w:rsidRPr="009767C2">
        <w:rPr>
          <w:sz w:val="21"/>
          <w:szCs w:val="21"/>
        </w:rPr>
        <w:t>At</w:t>
      </w:r>
      <w:r w:rsidR="00750DC3" w:rsidRPr="009767C2">
        <w:rPr>
          <w:sz w:val="21"/>
          <w:szCs w:val="21"/>
        </w:rPr>
        <w:t xml:space="preserve"> level </w:t>
      </w:r>
      <w:r w:rsidR="006567B9" w:rsidRPr="009767C2">
        <w:rPr>
          <w:sz w:val="21"/>
          <w:szCs w:val="21"/>
        </w:rPr>
        <w:t>two</w:t>
      </w:r>
      <w:r w:rsidR="00750DC3" w:rsidRPr="009767C2">
        <w:rPr>
          <w:sz w:val="21"/>
          <w:szCs w:val="21"/>
        </w:rPr>
        <w:t>, the costs of the initiative are listed</w:t>
      </w:r>
      <w:r w:rsidR="00D54FF0" w:rsidRPr="009767C2">
        <w:rPr>
          <w:sz w:val="21"/>
          <w:szCs w:val="21"/>
        </w:rPr>
        <w:t xml:space="preserve"> </w:t>
      </w:r>
      <w:r w:rsidRPr="009767C2">
        <w:rPr>
          <w:sz w:val="21"/>
          <w:szCs w:val="21"/>
        </w:rPr>
        <w:t xml:space="preserve">and totalled </w:t>
      </w:r>
      <w:r w:rsidR="00D54FF0" w:rsidRPr="009767C2">
        <w:rPr>
          <w:sz w:val="21"/>
          <w:szCs w:val="21"/>
        </w:rPr>
        <w:t>without any detail about the costs per output or outcome</w:t>
      </w:r>
      <w:r w:rsidR="00750DC3" w:rsidRPr="009767C2">
        <w:rPr>
          <w:sz w:val="21"/>
          <w:szCs w:val="21"/>
        </w:rPr>
        <w:t xml:space="preserve">. </w:t>
      </w:r>
      <w:r w:rsidR="008812F0" w:rsidRPr="009767C2">
        <w:rPr>
          <w:sz w:val="21"/>
          <w:szCs w:val="21"/>
        </w:rPr>
        <w:t>For example:</w:t>
      </w:r>
    </w:p>
    <w:p w:rsidR="00750DC3" w:rsidRPr="009767C2" w:rsidRDefault="008812F0" w:rsidP="007039DB">
      <w:pPr>
        <w:numPr>
          <w:ilvl w:val="0"/>
          <w:numId w:val="4"/>
        </w:numPr>
        <w:ind w:left="-567" w:hanging="284"/>
        <w:jc w:val="both"/>
        <w:rPr>
          <w:sz w:val="21"/>
          <w:szCs w:val="21"/>
        </w:rPr>
      </w:pPr>
      <w:r w:rsidRPr="009767C2">
        <w:rPr>
          <w:sz w:val="21"/>
          <w:szCs w:val="21"/>
        </w:rPr>
        <w:t>Cost of program</w:t>
      </w:r>
      <w:r w:rsidR="00750DC3" w:rsidRPr="009767C2">
        <w:rPr>
          <w:sz w:val="21"/>
          <w:szCs w:val="21"/>
        </w:rPr>
        <w:t xml:space="preserve"> </w:t>
      </w:r>
      <w:r w:rsidR="00E221F5">
        <w:rPr>
          <w:sz w:val="21"/>
          <w:szCs w:val="21"/>
        </w:rPr>
        <w:tab/>
        <w:t>$3</w:t>
      </w:r>
      <w:r w:rsidRPr="009767C2">
        <w:rPr>
          <w:sz w:val="21"/>
          <w:szCs w:val="21"/>
        </w:rPr>
        <w:t>000</w:t>
      </w:r>
    </w:p>
    <w:p w:rsidR="00750DC3" w:rsidRPr="009767C2" w:rsidRDefault="006567B9" w:rsidP="007039DB">
      <w:pPr>
        <w:numPr>
          <w:ilvl w:val="0"/>
          <w:numId w:val="4"/>
        </w:numPr>
        <w:ind w:left="-567" w:hanging="284"/>
        <w:jc w:val="both"/>
        <w:rPr>
          <w:sz w:val="21"/>
          <w:szCs w:val="21"/>
        </w:rPr>
      </w:pPr>
      <w:r w:rsidRPr="009767C2">
        <w:rPr>
          <w:sz w:val="21"/>
          <w:szCs w:val="21"/>
        </w:rPr>
        <w:t>Headsets</w:t>
      </w:r>
      <w:r w:rsidRPr="009767C2">
        <w:rPr>
          <w:sz w:val="21"/>
          <w:szCs w:val="21"/>
        </w:rPr>
        <w:tab/>
      </w:r>
      <w:r w:rsidR="00750DC3" w:rsidRPr="009767C2">
        <w:rPr>
          <w:sz w:val="21"/>
          <w:szCs w:val="21"/>
        </w:rPr>
        <w:t xml:space="preserve"> </w:t>
      </w:r>
      <w:r w:rsidR="0000539C" w:rsidRPr="009767C2">
        <w:rPr>
          <w:sz w:val="21"/>
          <w:szCs w:val="21"/>
        </w:rPr>
        <w:tab/>
      </w:r>
      <w:r w:rsidR="00750DC3" w:rsidRPr="009767C2">
        <w:rPr>
          <w:sz w:val="21"/>
          <w:szCs w:val="21"/>
        </w:rPr>
        <w:t>$</w:t>
      </w:r>
      <w:r w:rsidR="00E221F5">
        <w:rPr>
          <w:sz w:val="21"/>
          <w:szCs w:val="21"/>
        </w:rPr>
        <w:t xml:space="preserve">  200</w:t>
      </w:r>
    </w:p>
    <w:p w:rsidR="002959E6" w:rsidRPr="009767C2" w:rsidRDefault="0000539C" w:rsidP="007039DB">
      <w:pPr>
        <w:numPr>
          <w:ilvl w:val="0"/>
          <w:numId w:val="4"/>
        </w:numPr>
        <w:ind w:left="-567" w:hanging="284"/>
        <w:jc w:val="both"/>
        <w:rPr>
          <w:sz w:val="21"/>
          <w:szCs w:val="21"/>
        </w:rPr>
      </w:pPr>
      <w:r w:rsidRPr="009767C2">
        <w:rPr>
          <w:sz w:val="21"/>
          <w:szCs w:val="21"/>
        </w:rPr>
        <w:t xml:space="preserve">Total expenditure </w:t>
      </w:r>
      <w:r w:rsidRPr="009767C2">
        <w:rPr>
          <w:sz w:val="21"/>
          <w:szCs w:val="21"/>
        </w:rPr>
        <w:tab/>
      </w:r>
      <w:r w:rsidR="002959E6" w:rsidRPr="009767C2">
        <w:rPr>
          <w:sz w:val="21"/>
          <w:szCs w:val="21"/>
        </w:rPr>
        <w:t>$</w:t>
      </w:r>
      <w:r w:rsidR="00E221F5">
        <w:rPr>
          <w:sz w:val="21"/>
          <w:szCs w:val="21"/>
        </w:rPr>
        <w:t>3</w:t>
      </w:r>
      <w:r w:rsidR="006567B9" w:rsidRPr="009767C2">
        <w:rPr>
          <w:sz w:val="21"/>
          <w:szCs w:val="21"/>
        </w:rPr>
        <w:t>200</w:t>
      </w:r>
    </w:p>
    <w:p w:rsidR="00750DC3" w:rsidRDefault="00750DC3" w:rsidP="007039DB">
      <w:pPr>
        <w:ind w:left="-851"/>
        <w:jc w:val="both"/>
        <w:rPr>
          <w:sz w:val="18"/>
          <w:szCs w:val="18"/>
        </w:rPr>
      </w:pPr>
    </w:p>
    <w:p w:rsidR="00750DC3" w:rsidRPr="001F57D8" w:rsidRDefault="00750DC3" w:rsidP="007039DB">
      <w:pPr>
        <w:spacing w:after="120"/>
        <w:ind w:left="-851"/>
        <w:jc w:val="both"/>
        <w:rPr>
          <w:b/>
          <w:color w:val="10C110"/>
          <w:sz w:val="22"/>
          <w:szCs w:val="22"/>
        </w:rPr>
      </w:pPr>
      <w:r w:rsidRPr="001F57D8">
        <w:rPr>
          <w:b/>
          <w:color w:val="10C110"/>
          <w:sz w:val="22"/>
          <w:szCs w:val="22"/>
        </w:rPr>
        <w:t>Outputs costed – level 3</w:t>
      </w:r>
    </w:p>
    <w:p w:rsidR="00750DC3" w:rsidRPr="009767C2" w:rsidRDefault="0000539C" w:rsidP="00B65643">
      <w:pPr>
        <w:spacing w:after="120"/>
        <w:ind w:left="-851"/>
        <w:rPr>
          <w:sz w:val="21"/>
          <w:szCs w:val="21"/>
        </w:rPr>
      </w:pPr>
      <w:r w:rsidRPr="009767C2">
        <w:rPr>
          <w:sz w:val="21"/>
          <w:szCs w:val="21"/>
        </w:rPr>
        <w:t xml:space="preserve">At </w:t>
      </w:r>
      <w:r w:rsidR="006567B9" w:rsidRPr="009767C2">
        <w:rPr>
          <w:sz w:val="21"/>
          <w:szCs w:val="21"/>
        </w:rPr>
        <w:t>this level</w:t>
      </w:r>
      <w:r w:rsidR="00750DC3" w:rsidRPr="009767C2">
        <w:rPr>
          <w:sz w:val="21"/>
          <w:szCs w:val="21"/>
        </w:rPr>
        <w:t>, investment information should include costs per outputs (</w:t>
      </w:r>
      <w:r w:rsidRPr="009767C2">
        <w:rPr>
          <w:sz w:val="21"/>
          <w:szCs w:val="21"/>
        </w:rPr>
        <w:t>e.g. cost per participant</w:t>
      </w:r>
      <w:r w:rsidR="00750DC3" w:rsidRPr="009767C2">
        <w:rPr>
          <w:sz w:val="21"/>
          <w:szCs w:val="21"/>
        </w:rPr>
        <w:t xml:space="preserve">). </w:t>
      </w:r>
      <w:r w:rsidR="00CB5953" w:rsidRPr="009767C2">
        <w:rPr>
          <w:sz w:val="21"/>
          <w:szCs w:val="21"/>
        </w:rPr>
        <w:t xml:space="preserve">This is helpful when considering affordability. </w:t>
      </w:r>
      <w:r w:rsidR="008812F0" w:rsidRPr="009767C2">
        <w:rPr>
          <w:sz w:val="21"/>
          <w:szCs w:val="21"/>
        </w:rPr>
        <w:t>For example</w:t>
      </w:r>
      <w:r w:rsidR="00750DC3" w:rsidRPr="009767C2">
        <w:rPr>
          <w:sz w:val="21"/>
          <w:szCs w:val="21"/>
        </w:rPr>
        <w:t>:</w:t>
      </w:r>
    </w:p>
    <w:p w:rsidR="00750DC3" w:rsidRPr="009767C2" w:rsidRDefault="0000539C" w:rsidP="007039DB">
      <w:pPr>
        <w:numPr>
          <w:ilvl w:val="0"/>
          <w:numId w:val="4"/>
        </w:numPr>
        <w:ind w:left="-567" w:hanging="284"/>
        <w:jc w:val="both"/>
        <w:rPr>
          <w:sz w:val="21"/>
          <w:szCs w:val="21"/>
        </w:rPr>
      </w:pPr>
      <w:r w:rsidRPr="009767C2">
        <w:rPr>
          <w:sz w:val="21"/>
          <w:szCs w:val="21"/>
        </w:rPr>
        <w:t>Program cost per</w:t>
      </w:r>
      <w:r w:rsidR="00750DC3" w:rsidRPr="009767C2">
        <w:rPr>
          <w:sz w:val="21"/>
          <w:szCs w:val="21"/>
        </w:rPr>
        <w:t xml:space="preserve"> participant </w:t>
      </w:r>
      <w:r w:rsidRPr="009767C2">
        <w:rPr>
          <w:sz w:val="21"/>
          <w:szCs w:val="21"/>
        </w:rPr>
        <w:tab/>
      </w:r>
      <w:r w:rsidR="007039DB" w:rsidRPr="009767C2">
        <w:rPr>
          <w:sz w:val="21"/>
          <w:szCs w:val="21"/>
        </w:rPr>
        <w:tab/>
      </w:r>
      <w:r w:rsidR="00750DC3" w:rsidRPr="009767C2">
        <w:rPr>
          <w:sz w:val="21"/>
          <w:szCs w:val="21"/>
        </w:rPr>
        <w:t>$</w:t>
      </w:r>
      <w:r w:rsidR="008812F0" w:rsidRPr="009767C2">
        <w:rPr>
          <w:sz w:val="21"/>
          <w:szCs w:val="21"/>
        </w:rPr>
        <w:t>300</w:t>
      </w:r>
    </w:p>
    <w:p w:rsidR="00750DC3" w:rsidRPr="009767C2" w:rsidRDefault="006567B9" w:rsidP="007039DB">
      <w:pPr>
        <w:numPr>
          <w:ilvl w:val="0"/>
          <w:numId w:val="4"/>
        </w:numPr>
        <w:ind w:left="-567" w:hanging="284"/>
        <w:jc w:val="both"/>
        <w:rPr>
          <w:sz w:val="21"/>
          <w:szCs w:val="21"/>
        </w:rPr>
      </w:pPr>
      <w:r w:rsidRPr="009767C2">
        <w:rPr>
          <w:sz w:val="21"/>
          <w:szCs w:val="21"/>
        </w:rPr>
        <w:t>Headset</w:t>
      </w:r>
      <w:r w:rsidR="00750DC3" w:rsidRPr="009767C2">
        <w:rPr>
          <w:sz w:val="21"/>
          <w:szCs w:val="21"/>
        </w:rPr>
        <w:t xml:space="preserve"> per participant </w:t>
      </w:r>
      <w:r w:rsidR="0000539C" w:rsidRPr="009767C2">
        <w:rPr>
          <w:sz w:val="21"/>
          <w:szCs w:val="21"/>
        </w:rPr>
        <w:tab/>
      </w:r>
      <w:r w:rsidRPr="009767C2">
        <w:rPr>
          <w:sz w:val="21"/>
          <w:szCs w:val="21"/>
        </w:rPr>
        <w:tab/>
      </w:r>
      <w:r w:rsidR="00750DC3" w:rsidRPr="009767C2">
        <w:rPr>
          <w:sz w:val="21"/>
          <w:szCs w:val="21"/>
        </w:rPr>
        <w:t>$</w:t>
      </w:r>
      <w:r w:rsidR="0000539C" w:rsidRPr="009767C2">
        <w:rPr>
          <w:sz w:val="21"/>
          <w:szCs w:val="21"/>
        </w:rPr>
        <w:t xml:space="preserve">  </w:t>
      </w:r>
      <w:r w:rsidRPr="009767C2">
        <w:rPr>
          <w:sz w:val="21"/>
          <w:szCs w:val="21"/>
        </w:rPr>
        <w:t>2</w:t>
      </w:r>
      <w:r w:rsidR="00750DC3" w:rsidRPr="009767C2">
        <w:rPr>
          <w:sz w:val="21"/>
          <w:szCs w:val="21"/>
        </w:rPr>
        <w:t>0</w:t>
      </w:r>
    </w:p>
    <w:p w:rsidR="002959E6" w:rsidRPr="009767C2" w:rsidRDefault="002959E6" w:rsidP="007039DB">
      <w:pPr>
        <w:numPr>
          <w:ilvl w:val="0"/>
          <w:numId w:val="4"/>
        </w:numPr>
        <w:ind w:left="-567" w:hanging="284"/>
        <w:jc w:val="both"/>
        <w:rPr>
          <w:sz w:val="21"/>
          <w:szCs w:val="21"/>
        </w:rPr>
      </w:pPr>
      <w:r w:rsidRPr="009767C2">
        <w:rPr>
          <w:sz w:val="21"/>
          <w:szCs w:val="21"/>
        </w:rPr>
        <w:t>Total expenditure</w:t>
      </w:r>
      <w:r w:rsidR="008812F0" w:rsidRPr="009767C2">
        <w:rPr>
          <w:sz w:val="21"/>
          <w:szCs w:val="21"/>
        </w:rPr>
        <w:t xml:space="preserve"> per participant</w:t>
      </w:r>
      <w:r w:rsidR="0000539C" w:rsidRPr="009767C2">
        <w:rPr>
          <w:sz w:val="21"/>
          <w:szCs w:val="21"/>
        </w:rPr>
        <w:t xml:space="preserve"> </w:t>
      </w:r>
      <w:r w:rsidR="0000539C" w:rsidRPr="009767C2">
        <w:rPr>
          <w:sz w:val="21"/>
          <w:szCs w:val="21"/>
        </w:rPr>
        <w:tab/>
      </w:r>
      <w:r w:rsidRPr="009767C2">
        <w:rPr>
          <w:sz w:val="21"/>
          <w:szCs w:val="21"/>
        </w:rPr>
        <w:t>$</w:t>
      </w:r>
      <w:r w:rsidR="000B1D9A" w:rsidRPr="009767C2">
        <w:rPr>
          <w:sz w:val="21"/>
          <w:szCs w:val="21"/>
        </w:rPr>
        <w:t>32</w:t>
      </w:r>
      <w:r w:rsidR="008812F0" w:rsidRPr="009767C2">
        <w:rPr>
          <w:sz w:val="21"/>
          <w:szCs w:val="21"/>
        </w:rPr>
        <w:t>0</w:t>
      </w:r>
    </w:p>
    <w:p w:rsidR="00750DC3" w:rsidRPr="00B65643" w:rsidRDefault="008812F0" w:rsidP="006567B9">
      <w:pPr>
        <w:spacing w:after="120"/>
        <w:jc w:val="both"/>
        <w:rPr>
          <w:b/>
          <w:color w:val="10C110"/>
          <w:sz w:val="22"/>
          <w:szCs w:val="22"/>
        </w:rPr>
      </w:pPr>
      <w:r>
        <w:rPr>
          <w:sz w:val="18"/>
          <w:szCs w:val="18"/>
        </w:rPr>
        <w:br w:type="column"/>
      </w:r>
      <w:r w:rsidR="000B1D9A" w:rsidRPr="00B65643">
        <w:rPr>
          <w:b/>
          <w:color w:val="10C110"/>
          <w:sz w:val="22"/>
          <w:szCs w:val="22"/>
        </w:rPr>
        <w:lastRenderedPageBreak/>
        <w:t>Outcomes costed – level four</w:t>
      </w:r>
    </w:p>
    <w:p w:rsidR="00750DC3" w:rsidRPr="009767C2" w:rsidRDefault="000B1D9A" w:rsidP="00B65643">
      <w:pPr>
        <w:spacing w:after="120"/>
        <w:ind w:right="-746"/>
        <w:rPr>
          <w:sz w:val="21"/>
          <w:szCs w:val="21"/>
        </w:rPr>
      </w:pPr>
      <w:r w:rsidRPr="009767C2">
        <w:rPr>
          <w:sz w:val="21"/>
          <w:szCs w:val="21"/>
        </w:rPr>
        <w:t>To reach level four</w:t>
      </w:r>
      <w:r w:rsidR="00750DC3" w:rsidRPr="009767C2">
        <w:rPr>
          <w:sz w:val="21"/>
          <w:szCs w:val="21"/>
        </w:rPr>
        <w:t xml:space="preserve">, investment information should include total costs </w:t>
      </w:r>
      <w:r w:rsidR="00026296" w:rsidRPr="009767C2">
        <w:rPr>
          <w:sz w:val="21"/>
          <w:szCs w:val="21"/>
        </w:rPr>
        <w:t>relative</w:t>
      </w:r>
      <w:r w:rsidR="00750DC3" w:rsidRPr="009767C2">
        <w:rPr>
          <w:sz w:val="21"/>
          <w:szCs w:val="21"/>
        </w:rPr>
        <w:t xml:space="preserve"> to </w:t>
      </w:r>
      <w:r w:rsidR="00026296" w:rsidRPr="009767C2">
        <w:rPr>
          <w:sz w:val="21"/>
          <w:szCs w:val="21"/>
        </w:rPr>
        <w:t xml:space="preserve">the </w:t>
      </w:r>
      <w:r w:rsidR="00750DC3" w:rsidRPr="009767C2">
        <w:rPr>
          <w:sz w:val="21"/>
          <w:szCs w:val="21"/>
        </w:rPr>
        <w:t>outcomes</w:t>
      </w:r>
      <w:r w:rsidR="0000539C" w:rsidRPr="009767C2">
        <w:rPr>
          <w:sz w:val="21"/>
          <w:szCs w:val="21"/>
        </w:rPr>
        <w:t xml:space="preserve"> of the initiative</w:t>
      </w:r>
      <w:r w:rsidR="003F74AE" w:rsidRPr="009767C2">
        <w:rPr>
          <w:sz w:val="21"/>
          <w:szCs w:val="21"/>
        </w:rPr>
        <w:t xml:space="preserve"> (</w:t>
      </w:r>
      <w:r w:rsidR="0000539C" w:rsidRPr="009767C2">
        <w:rPr>
          <w:sz w:val="21"/>
          <w:szCs w:val="21"/>
        </w:rPr>
        <w:t>i.e. the measured impact on individuals or groups</w:t>
      </w:r>
      <w:r w:rsidR="003F74AE" w:rsidRPr="009767C2">
        <w:rPr>
          <w:sz w:val="21"/>
          <w:szCs w:val="21"/>
        </w:rPr>
        <w:t>)</w:t>
      </w:r>
      <w:r w:rsidR="0000539C" w:rsidRPr="009767C2">
        <w:rPr>
          <w:sz w:val="21"/>
          <w:szCs w:val="21"/>
        </w:rPr>
        <w:t xml:space="preserve">. </w:t>
      </w:r>
      <w:r w:rsidR="008812F0" w:rsidRPr="009767C2">
        <w:rPr>
          <w:sz w:val="21"/>
          <w:szCs w:val="21"/>
        </w:rPr>
        <w:t>For example:</w:t>
      </w:r>
    </w:p>
    <w:p w:rsidR="00750DC3" w:rsidRPr="009767C2" w:rsidRDefault="00750DC3" w:rsidP="00B65643">
      <w:pPr>
        <w:numPr>
          <w:ilvl w:val="0"/>
          <w:numId w:val="4"/>
        </w:numPr>
        <w:spacing w:after="120"/>
        <w:ind w:left="426" w:right="-746" w:hanging="283"/>
        <w:rPr>
          <w:sz w:val="21"/>
          <w:szCs w:val="21"/>
        </w:rPr>
      </w:pPr>
      <w:r w:rsidRPr="009767C2">
        <w:rPr>
          <w:sz w:val="21"/>
          <w:szCs w:val="21"/>
        </w:rPr>
        <w:t xml:space="preserve">The </w:t>
      </w:r>
      <w:r w:rsidR="00A24EDC" w:rsidRPr="009767C2">
        <w:rPr>
          <w:sz w:val="21"/>
          <w:szCs w:val="21"/>
        </w:rPr>
        <w:t xml:space="preserve">cost of </w:t>
      </w:r>
      <w:r w:rsidR="008812F0" w:rsidRPr="009767C2">
        <w:rPr>
          <w:sz w:val="21"/>
          <w:szCs w:val="21"/>
        </w:rPr>
        <w:t>$440 per participant</w:t>
      </w:r>
      <w:r w:rsidR="00A24EDC" w:rsidRPr="009767C2">
        <w:rPr>
          <w:sz w:val="21"/>
          <w:szCs w:val="21"/>
        </w:rPr>
        <w:t xml:space="preserve"> was associated</w:t>
      </w:r>
      <w:r w:rsidRPr="009767C2">
        <w:rPr>
          <w:sz w:val="21"/>
          <w:szCs w:val="21"/>
        </w:rPr>
        <w:t xml:space="preserve"> with a</w:t>
      </w:r>
      <w:r w:rsidR="00A64728" w:rsidRPr="009767C2">
        <w:rPr>
          <w:sz w:val="21"/>
          <w:szCs w:val="21"/>
        </w:rPr>
        <w:t>n average</w:t>
      </w:r>
      <w:r w:rsidRPr="009767C2">
        <w:rPr>
          <w:sz w:val="21"/>
          <w:szCs w:val="21"/>
        </w:rPr>
        <w:t xml:space="preserve"> </w:t>
      </w:r>
      <w:r w:rsidR="00E221F5">
        <w:rPr>
          <w:sz w:val="21"/>
          <w:szCs w:val="21"/>
        </w:rPr>
        <w:t>3 per cent</w:t>
      </w:r>
      <w:r w:rsidR="0008321C" w:rsidRPr="009767C2">
        <w:rPr>
          <w:sz w:val="21"/>
          <w:szCs w:val="21"/>
        </w:rPr>
        <w:t xml:space="preserve"> increase in </w:t>
      </w:r>
      <w:r w:rsidR="00A24EDC" w:rsidRPr="009767C2">
        <w:rPr>
          <w:sz w:val="21"/>
          <w:szCs w:val="21"/>
        </w:rPr>
        <w:t xml:space="preserve">scores on a standardised </w:t>
      </w:r>
      <w:r w:rsidR="0008321C" w:rsidRPr="009767C2">
        <w:rPr>
          <w:sz w:val="21"/>
          <w:szCs w:val="21"/>
        </w:rPr>
        <w:t>numeracy</w:t>
      </w:r>
      <w:r w:rsidRPr="009767C2">
        <w:rPr>
          <w:sz w:val="21"/>
          <w:szCs w:val="21"/>
        </w:rPr>
        <w:t xml:space="preserve"> </w:t>
      </w:r>
      <w:r w:rsidR="00A24EDC" w:rsidRPr="009767C2">
        <w:rPr>
          <w:sz w:val="21"/>
          <w:szCs w:val="21"/>
        </w:rPr>
        <w:t xml:space="preserve">test </w:t>
      </w:r>
      <w:r w:rsidR="008812F0" w:rsidRPr="009767C2">
        <w:rPr>
          <w:sz w:val="21"/>
          <w:szCs w:val="21"/>
        </w:rPr>
        <w:t>compared to a similar g</w:t>
      </w:r>
      <w:r w:rsidR="00A24EDC" w:rsidRPr="009767C2">
        <w:rPr>
          <w:sz w:val="21"/>
          <w:szCs w:val="21"/>
        </w:rPr>
        <w:t xml:space="preserve">roup of </w:t>
      </w:r>
      <w:r w:rsidR="006567B9" w:rsidRPr="009767C2">
        <w:rPr>
          <w:sz w:val="21"/>
          <w:szCs w:val="21"/>
        </w:rPr>
        <w:t>students. This</w:t>
      </w:r>
      <w:r w:rsidR="00A24EDC" w:rsidRPr="009767C2">
        <w:rPr>
          <w:sz w:val="21"/>
          <w:szCs w:val="21"/>
        </w:rPr>
        <w:t xml:space="preserve"> represented</w:t>
      </w:r>
      <w:r w:rsidR="008812F0" w:rsidRPr="009767C2">
        <w:rPr>
          <w:sz w:val="21"/>
          <w:szCs w:val="21"/>
        </w:rPr>
        <w:t xml:space="preserve"> </w:t>
      </w:r>
      <w:r w:rsidRPr="009767C2">
        <w:rPr>
          <w:sz w:val="21"/>
          <w:szCs w:val="21"/>
        </w:rPr>
        <w:t>an average cost of $</w:t>
      </w:r>
      <w:r w:rsidR="008812F0" w:rsidRPr="009767C2">
        <w:rPr>
          <w:sz w:val="21"/>
          <w:szCs w:val="21"/>
        </w:rPr>
        <w:t xml:space="preserve">147 </w:t>
      </w:r>
      <w:r w:rsidRPr="009767C2">
        <w:rPr>
          <w:sz w:val="21"/>
          <w:szCs w:val="21"/>
        </w:rPr>
        <w:t xml:space="preserve">per </w:t>
      </w:r>
      <w:r w:rsidR="0008321C" w:rsidRPr="009767C2">
        <w:rPr>
          <w:sz w:val="21"/>
          <w:szCs w:val="21"/>
        </w:rPr>
        <w:t>percentage point increase per student</w:t>
      </w:r>
      <w:r w:rsidRPr="009767C2">
        <w:rPr>
          <w:sz w:val="21"/>
          <w:szCs w:val="21"/>
        </w:rPr>
        <w:t>.</w:t>
      </w:r>
    </w:p>
    <w:p w:rsidR="00750DC3" w:rsidRPr="009767C2" w:rsidRDefault="00A24EDC" w:rsidP="00B65643">
      <w:pPr>
        <w:numPr>
          <w:ilvl w:val="0"/>
          <w:numId w:val="4"/>
        </w:numPr>
        <w:spacing w:after="120"/>
        <w:ind w:left="426" w:right="-746" w:hanging="283"/>
        <w:rPr>
          <w:sz w:val="21"/>
          <w:szCs w:val="21"/>
        </w:rPr>
      </w:pPr>
      <w:r w:rsidRPr="009767C2">
        <w:rPr>
          <w:sz w:val="21"/>
          <w:szCs w:val="21"/>
        </w:rPr>
        <w:t>A</w:t>
      </w:r>
      <w:r w:rsidR="00750DC3" w:rsidRPr="009767C2">
        <w:rPr>
          <w:sz w:val="21"/>
          <w:szCs w:val="21"/>
        </w:rPr>
        <w:t xml:space="preserve"> $50</w:t>
      </w:r>
      <w:r w:rsidR="008B16F6" w:rsidRPr="009767C2">
        <w:rPr>
          <w:sz w:val="21"/>
          <w:szCs w:val="21"/>
        </w:rPr>
        <w:t>,</w:t>
      </w:r>
      <w:r w:rsidR="00750DC3" w:rsidRPr="009767C2">
        <w:rPr>
          <w:sz w:val="21"/>
          <w:szCs w:val="21"/>
        </w:rPr>
        <w:t>000 investment was associated with an</w:t>
      </w:r>
      <w:r w:rsidR="00D469D8" w:rsidRPr="009767C2">
        <w:rPr>
          <w:sz w:val="21"/>
          <w:szCs w:val="21"/>
        </w:rPr>
        <w:t xml:space="preserve"> </w:t>
      </w:r>
      <w:r w:rsidRPr="009767C2">
        <w:rPr>
          <w:sz w:val="21"/>
          <w:szCs w:val="21"/>
        </w:rPr>
        <w:t>increase</w:t>
      </w:r>
      <w:r w:rsidR="000B1D9A" w:rsidRPr="009767C2">
        <w:rPr>
          <w:sz w:val="21"/>
          <w:szCs w:val="21"/>
        </w:rPr>
        <w:t xml:space="preserve"> </w:t>
      </w:r>
      <w:r w:rsidR="00D469D8" w:rsidRPr="009767C2">
        <w:rPr>
          <w:sz w:val="21"/>
          <w:szCs w:val="21"/>
        </w:rPr>
        <w:t>of 1000</w:t>
      </w:r>
      <w:r w:rsidR="000B1D9A" w:rsidRPr="009767C2">
        <w:rPr>
          <w:sz w:val="21"/>
          <w:szCs w:val="21"/>
        </w:rPr>
        <w:t xml:space="preserve"> </w:t>
      </w:r>
      <w:r w:rsidR="00D469D8" w:rsidRPr="009767C2">
        <w:rPr>
          <w:sz w:val="21"/>
          <w:szCs w:val="21"/>
        </w:rPr>
        <w:t xml:space="preserve">more </w:t>
      </w:r>
      <w:r w:rsidR="000B1D9A" w:rsidRPr="009767C2">
        <w:rPr>
          <w:sz w:val="21"/>
          <w:szCs w:val="21"/>
        </w:rPr>
        <w:t xml:space="preserve">Certificate III completions than in </w:t>
      </w:r>
      <w:r w:rsidR="00D469D8" w:rsidRPr="009767C2">
        <w:rPr>
          <w:sz w:val="21"/>
          <w:szCs w:val="21"/>
        </w:rPr>
        <w:t>t</w:t>
      </w:r>
      <w:r w:rsidR="008C394F" w:rsidRPr="009767C2">
        <w:rPr>
          <w:sz w:val="21"/>
          <w:szCs w:val="21"/>
        </w:rPr>
        <w:t>h</w:t>
      </w:r>
      <w:r w:rsidR="00D469D8" w:rsidRPr="009767C2">
        <w:rPr>
          <w:sz w:val="21"/>
          <w:szCs w:val="21"/>
        </w:rPr>
        <w:t xml:space="preserve">e </w:t>
      </w:r>
      <w:r w:rsidR="000B1D9A" w:rsidRPr="009767C2">
        <w:rPr>
          <w:sz w:val="21"/>
          <w:szCs w:val="21"/>
        </w:rPr>
        <w:t>previous year.</w:t>
      </w:r>
      <w:r w:rsidRPr="009767C2">
        <w:rPr>
          <w:sz w:val="21"/>
          <w:szCs w:val="21"/>
        </w:rPr>
        <w:t xml:space="preserve"> This equates to </w:t>
      </w:r>
      <w:r w:rsidR="006567B9" w:rsidRPr="009767C2">
        <w:rPr>
          <w:sz w:val="21"/>
          <w:szCs w:val="21"/>
        </w:rPr>
        <w:t>an</w:t>
      </w:r>
      <w:r w:rsidRPr="009767C2">
        <w:rPr>
          <w:sz w:val="21"/>
          <w:szCs w:val="21"/>
        </w:rPr>
        <w:t xml:space="preserve"> average cost of $50 per additional completion.</w:t>
      </w:r>
      <w:r w:rsidR="00750DC3" w:rsidRPr="009767C2">
        <w:rPr>
          <w:sz w:val="21"/>
          <w:szCs w:val="21"/>
        </w:rPr>
        <w:t xml:space="preserve"> </w:t>
      </w:r>
    </w:p>
    <w:p w:rsidR="00B46B6F" w:rsidRPr="00B65643" w:rsidRDefault="0067087D" w:rsidP="003E6722">
      <w:pPr>
        <w:spacing w:after="120"/>
        <w:jc w:val="both"/>
        <w:rPr>
          <w:b/>
          <w:color w:val="10C110"/>
          <w:sz w:val="22"/>
          <w:szCs w:val="22"/>
        </w:rPr>
      </w:pPr>
      <w:r w:rsidRPr="00B65643">
        <w:rPr>
          <w:b/>
          <w:color w:val="10C110"/>
          <w:sz w:val="22"/>
          <w:szCs w:val="22"/>
        </w:rPr>
        <w:t>Cost-</w:t>
      </w:r>
      <w:r w:rsidR="003E6722" w:rsidRPr="00B65643">
        <w:rPr>
          <w:b/>
          <w:color w:val="10C110"/>
          <w:sz w:val="22"/>
          <w:szCs w:val="22"/>
        </w:rPr>
        <w:t>effective</w:t>
      </w:r>
      <w:r w:rsidRPr="00B65643">
        <w:rPr>
          <w:b/>
          <w:color w:val="10C110"/>
          <w:sz w:val="22"/>
          <w:szCs w:val="22"/>
        </w:rPr>
        <w:t>ness known</w:t>
      </w:r>
      <w:r w:rsidR="003E6722" w:rsidRPr="00B65643">
        <w:rPr>
          <w:b/>
          <w:color w:val="10C110"/>
          <w:sz w:val="22"/>
          <w:szCs w:val="22"/>
        </w:rPr>
        <w:t xml:space="preserve"> </w:t>
      </w:r>
      <w:r w:rsidR="000B1D9A" w:rsidRPr="00B65643">
        <w:rPr>
          <w:b/>
          <w:color w:val="10C110"/>
          <w:sz w:val="22"/>
          <w:szCs w:val="22"/>
        </w:rPr>
        <w:t>– level five</w:t>
      </w:r>
    </w:p>
    <w:p w:rsidR="003E6722" w:rsidRPr="009767C2" w:rsidRDefault="00CB5953" w:rsidP="00B65643">
      <w:pPr>
        <w:spacing w:after="120"/>
        <w:ind w:right="-746"/>
        <w:rPr>
          <w:sz w:val="21"/>
          <w:szCs w:val="21"/>
        </w:rPr>
      </w:pPr>
      <w:r w:rsidRPr="009767C2">
        <w:rPr>
          <w:sz w:val="21"/>
          <w:szCs w:val="21"/>
        </w:rPr>
        <w:t>Information on c</w:t>
      </w:r>
      <w:r w:rsidR="0067087D" w:rsidRPr="009767C2">
        <w:rPr>
          <w:sz w:val="21"/>
          <w:szCs w:val="21"/>
        </w:rPr>
        <w:t>ost-</w:t>
      </w:r>
      <w:r w:rsidR="00B46B6F" w:rsidRPr="009767C2">
        <w:rPr>
          <w:sz w:val="21"/>
          <w:szCs w:val="21"/>
        </w:rPr>
        <w:t>ef</w:t>
      </w:r>
      <w:r w:rsidR="009B5DD8" w:rsidRPr="009767C2">
        <w:rPr>
          <w:sz w:val="21"/>
          <w:szCs w:val="21"/>
        </w:rPr>
        <w:t>f</w:t>
      </w:r>
      <w:r w:rsidR="00B46B6F" w:rsidRPr="009767C2">
        <w:rPr>
          <w:sz w:val="21"/>
          <w:szCs w:val="21"/>
        </w:rPr>
        <w:t xml:space="preserve">ectiveness </w:t>
      </w:r>
      <w:r w:rsidR="0057014E" w:rsidRPr="009767C2">
        <w:rPr>
          <w:sz w:val="21"/>
          <w:szCs w:val="21"/>
        </w:rPr>
        <w:t>provides</w:t>
      </w:r>
      <w:r w:rsidR="006273D0" w:rsidRPr="009767C2">
        <w:rPr>
          <w:sz w:val="21"/>
          <w:szCs w:val="21"/>
        </w:rPr>
        <w:t xml:space="preserve"> </w:t>
      </w:r>
      <w:r w:rsidR="00B46B6F" w:rsidRPr="009767C2">
        <w:rPr>
          <w:sz w:val="21"/>
          <w:szCs w:val="21"/>
        </w:rPr>
        <w:t>p</w:t>
      </w:r>
      <w:r w:rsidR="009B5DD8" w:rsidRPr="009767C2">
        <w:rPr>
          <w:sz w:val="21"/>
          <w:szCs w:val="21"/>
        </w:rPr>
        <w:t>o</w:t>
      </w:r>
      <w:r w:rsidR="00B46B6F" w:rsidRPr="009767C2">
        <w:rPr>
          <w:sz w:val="21"/>
          <w:szCs w:val="21"/>
        </w:rPr>
        <w:t>wer</w:t>
      </w:r>
      <w:r w:rsidR="006273D0" w:rsidRPr="009767C2">
        <w:rPr>
          <w:sz w:val="21"/>
          <w:szCs w:val="21"/>
        </w:rPr>
        <w:t>ful</w:t>
      </w:r>
      <w:r w:rsidR="00B46B6F" w:rsidRPr="009767C2">
        <w:rPr>
          <w:sz w:val="21"/>
          <w:szCs w:val="21"/>
        </w:rPr>
        <w:t xml:space="preserve"> evidence </w:t>
      </w:r>
      <w:r w:rsidR="006273D0" w:rsidRPr="009767C2">
        <w:rPr>
          <w:sz w:val="21"/>
          <w:szCs w:val="21"/>
        </w:rPr>
        <w:t xml:space="preserve">to </w:t>
      </w:r>
      <w:r w:rsidR="00B46B6F" w:rsidRPr="009767C2">
        <w:rPr>
          <w:sz w:val="21"/>
          <w:szCs w:val="21"/>
        </w:rPr>
        <w:t>inform deci</w:t>
      </w:r>
      <w:r w:rsidR="009B5DD8" w:rsidRPr="009767C2">
        <w:rPr>
          <w:sz w:val="21"/>
          <w:szCs w:val="21"/>
        </w:rPr>
        <w:t>s</w:t>
      </w:r>
      <w:r w:rsidR="00B46B6F" w:rsidRPr="009767C2">
        <w:rPr>
          <w:sz w:val="21"/>
          <w:szCs w:val="21"/>
        </w:rPr>
        <w:t>i</w:t>
      </w:r>
      <w:r w:rsidR="009B5DD8" w:rsidRPr="009767C2">
        <w:rPr>
          <w:sz w:val="21"/>
          <w:szCs w:val="21"/>
        </w:rPr>
        <w:t>o</w:t>
      </w:r>
      <w:r w:rsidR="00B46B6F" w:rsidRPr="009767C2">
        <w:rPr>
          <w:sz w:val="21"/>
          <w:szCs w:val="21"/>
        </w:rPr>
        <w:t>n making.</w:t>
      </w:r>
      <w:r w:rsidR="00A24EDC" w:rsidRPr="009767C2">
        <w:rPr>
          <w:sz w:val="21"/>
          <w:szCs w:val="21"/>
        </w:rPr>
        <w:t xml:space="preserve"> At</w:t>
      </w:r>
      <w:r w:rsidR="000B1D9A" w:rsidRPr="009767C2">
        <w:rPr>
          <w:sz w:val="21"/>
          <w:szCs w:val="21"/>
        </w:rPr>
        <w:t xml:space="preserve"> level five</w:t>
      </w:r>
      <w:r w:rsidR="009B5DD8" w:rsidRPr="009767C2">
        <w:rPr>
          <w:sz w:val="21"/>
          <w:szCs w:val="21"/>
        </w:rPr>
        <w:t>, t</w:t>
      </w:r>
      <w:r w:rsidR="003E6722" w:rsidRPr="009767C2">
        <w:rPr>
          <w:sz w:val="21"/>
          <w:szCs w:val="21"/>
        </w:rPr>
        <w:t xml:space="preserve">he initiative </w:t>
      </w:r>
      <w:r w:rsidR="009B5DD8" w:rsidRPr="009767C2">
        <w:rPr>
          <w:sz w:val="21"/>
          <w:szCs w:val="21"/>
        </w:rPr>
        <w:t xml:space="preserve">must </w:t>
      </w:r>
      <w:r w:rsidR="003E6722" w:rsidRPr="009767C2">
        <w:rPr>
          <w:sz w:val="21"/>
          <w:szCs w:val="21"/>
        </w:rPr>
        <w:t xml:space="preserve">include information aligning costs to </w:t>
      </w:r>
      <w:r w:rsidR="006D5745" w:rsidRPr="009767C2">
        <w:rPr>
          <w:sz w:val="21"/>
          <w:szCs w:val="21"/>
        </w:rPr>
        <w:t xml:space="preserve">measurable </w:t>
      </w:r>
      <w:r w:rsidR="003E6722" w:rsidRPr="009767C2">
        <w:rPr>
          <w:sz w:val="21"/>
          <w:szCs w:val="21"/>
        </w:rPr>
        <w:t>outcomes</w:t>
      </w:r>
      <w:r w:rsidR="004932C5" w:rsidRPr="009767C2">
        <w:rPr>
          <w:sz w:val="21"/>
          <w:szCs w:val="21"/>
        </w:rPr>
        <w:t>,</w:t>
      </w:r>
      <w:r w:rsidR="003E6722" w:rsidRPr="009767C2">
        <w:rPr>
          <w:sz w:val="21"/>
          <w:szCs w:val="21"/>
        </w:rPr>
        <w:t xml:space="preserve"> </w:t>
      </w:r>
      <w:r w:rsidR="006D5745" w:rsidRPr="009767C2">
        <w:rPr>
          <w:sz w:val="21"/>
          <w:szCs w:val="21"/>
        </w:rPr>
        <w:t xml:space="preserve">and </w:t>
      </w:r>
      <w:r w:rsidR="003E6722" w:rsidRPr="009767C2">
        <w:rPr>
          <w:sz w:val="21"/>
          <w:szCs w:val="21"/>
        </w:rPr>
        <w:t>compar</w:t>
      </w:r>
      <w:r w:rsidR="006D5745" w:rsidRPr="009767C2">
        <w:rPr>
          <w:sz w:val="21"/>
          <w:szCs w:val="21"/>
        </w:rPr>
        <w:t>ing this</w:t>
      </w:r>
      <w:r w:rsidR="003E6722" w:rsidRPr="009767C2">
        <w:rPr>
          <w:sz w:val="21"/>
          <w:szCs w:val="21"/>
        </w:rPr>
        <w:t xml:space="preserve"> to other initiatives </w:t>
      </w:r>
      <w:r w:rsidR="0067087D" w:rsidRPr="009767C2">
        <w:rPr>
          <w:sz w:val="21"/>
          <w:szCs w:val="21"/>
        </w:rPr>
        <w:t>whose cost-</w:t>
      </w:r>
      <w:r w:rsidR="006D5745" w:rsidRPr="009767C2">
        <w:rPr>
          <w:sz w:val="21"/>
          <w:szCs w:val="21"/>
        </w:rPr>
        <w:t>effectiveness is measured in the same way</w:t>
      </w:r>
      <w:r w:rsidR="003E6722" w:rsidRPr="009767C2">
        <w:rPr>
          <w:sz w:val="21"/>
          <w:szCs w:val="21"/>
        </w:rPr>
        <w:t xml:space="preserve">. </w:t>
      </w:r>
      <w:r w:rsidR="004932C5" w:rsidRPr="009767C2">
        <w:rPr>
          <w:sz w:val="21"/>
          <w:szCs w:val="21"/>
        </w:rPr>
        <w:t>T</w:t>
      </w:r>
      <w:r w:rsidR="006D5745" w:rsidRPr="009767C2">
        <w:rPr>
          <w:sz w:val="21"/>
          <w:szCs w:val="21"/>
        </w:rPr>
        <w:t xml:space="preserve">he same approach </w:t>
      </w:r>
      <w:r w:rsidR="006273D0" w:rsidRPr="009767C2">
        <w:rPr>
          <w:sz w:val="21"/>
          <w:szCs w:val="21"/>
        </w:rPr>
        <w:t>must</w:t>
      </w:r>
      <w:r w:rsidR="004932C5" w:rsidRPr="009767C2">
        <w:rPr>
          <w:sz w:val="21"/>
          <w:szCs w:val="21"/>
        </w:rPr>
        <w:t xml:space="preserve"> be </w:t>
      </w:r>
      <w:r w:rsidR="006D5745" w:rsidRPr="009767C2">
        <w:rPr>
          <w:sz w:val="21"/>
          <w:szCs w:val="21"/>
        </w:rPr>
        <w:t xml:space="preserve">taken </w:t>
      </w:r>
      <w:r w:rsidR="004932C5" w:rsidRPr="009767C2">
        <w:rPr>
          <w:sz w:val="21"/>
          <w:szCs w:val="21"/>
        </w:rPr>
        <w:t xml:space="preserve">with </w:t>
      </w:r>
      <w:r w:rsidR="006D5745" w:rsidRPr="009767C2">
        <w:rPr>
          <w:sz w:val="21"/>
          <w:szCs w:val="21"/>
        </w:rPr>
        <w:t>the cost</w:t>
      </w:r>
      <w:r w:rsidR="009767C2">
        <w:rPr>
          <w:sz w:val="21"/>
          <w:szCs w:val="21"/>
        </w:rPr>
        <w:t xml:space="preserve"> and impact</w:t>
      </w:r>
      <w:r w:rsidR="006D5745" w:rsidRPr="009767C2">
        <w:rPr>
          <w:sz w:val="21"/>
          <w:szCs w:val="21"/>
        </w:rPr>
        <w:t xml:space="preserve"> calculations of each initiative</w:t>
      </w:r>
      <w:r w:rsidR="006273D0" w:rsidRPr="009767C2">
        <w:rPr>
          <w:sz w:val="21"/>
          <w:szCs w:val="21"/>
        </w:rPr>
        <w:t xml:space="preserve"> so </w:t>
      </w:r>
      <w:r w:rsidR="006D5745" w:rsidRPr="009767C2">
        <w:rPr>
          <w:sz w:val="21"/>
          <w:szCs w:val="21"/>
        </w:rPr>
        <w:t xml:space="preserve">the comparisons are meaningful. </w:t>
      </w:r>
      <w:r w:rsidR="008812F0" w:rsidRPr="009767C2">
        <w:rPr>
          <w:sz w:val="21"/>
          <w:szCs w:val="21"/>
        </w:rPr>
        <w:t>For example</w:t>
      </w:r>
      <w:r w:rsidR="003E6722" w:rsidRPr="009767C2">
        <w:rPr>
          <w:sz w:val="21"/>
          <w:szCs w:val="21"/>
        </w:rPr>
        <w:t>:</w:t>
      </w:r>
    </w:p>
    <w:p w:rsidR="003E6722" w:rsidRPr="009767C2" w:rsidRDefault="003E6722" w:rsidP="00B65643">
      <w:pPr>
        <w:numPr>
          <w:ilvl w:val="0"/>
          <w:numId w:val="4"/>
        </w:numPr>
        <w:spacing w:after="120"/>
        <w:ind w:left="426" w:right="-605" w:hanging="284"/>
        <w:rPr>
          <w:sz w:val="21"/>
          <w:szCs w:val="21"/>
        </w:rPr>
      </w:pPr>
      <w:r w:rsidRPr="009767C2">
        <w:rPr>
          <w:sz w:val="21"/>
          <w:szCs w:val="21"/>
        </w:rPr>
        <w:t xml:space="preserve">The </w:t>
      </w:r>
      <w:r w:rsidR="00A24EDC" w:rsidRPr="009767C2">
        <w:rPr>
          <w:sz w:val="21"/>
          <w:szCs w:val="21"/>
        </w:rPr>
        <w:t xml:space="preserve">outcomes of a particular numeracy initiative cost an average </w:t>
      </w:r>
      <w:r w:rsidR="004E17B3" w:rsidRPr="009767C2">
        <w:rPr>
          <w:sz w:val="21"/>
          <w:szCs w:val="21"/>
        </w:rPr>
        <w:t xml:space="preserve">of $147 per percentage point increase per student. </w:t>
      </w:r>
      <w:r w:rsidRPr="009767C2">
        <w:rPr>
          <w:sz w:val="21"/>
          <w:szCs w:val="21"/>
        </w:rPr>
        <w:t xml:space="preserve">This compares to other </w:t>
      </w:r>
      <w:r w:rsidR="003829BE" w:rsidRPr="009767C2">
        <w:rPr>
          <w:sz w:val="21"/>
          <w:szCs w:val="21"/>
        </w:rPr>
        <w:t xml:space="preserve">evidence-based approaches </w:t>
      </w:r>
      <w:r w:rsidRPr="009767C2">
        <w:rPr>
          <w:sz w:val="21"/>
          <w:szCs w:val="21"/>
        </w:rPr>
        <w:t xml:space="preserve">designed to improve </w:t>
      </w:r>
      <w:r w:rsidR="0008321C" w:rsidRPr="009767C2">
        <w:rPr>
          <w:sz w:val="21"/>
          <w:szCs w:val="21"/>
        </w:rPr>
        <w:t>numeracy</w:t>
      </w:r>
      <w:r w:rsidRPr="009767C2">
        <w:rPr>
          <w:sz w:val="21"/>
          <w:szCs w:val="21"/>
        </w:rPr>
        <w:t>, whose cost</w:t>
      </w:r>
      <w:r w:rsidR="00127F81" w:rsidRPr="009767C2">
        <w:rPr>
          <w:sz w:val="21"/>
          <w:szCs w:val="21"/>
        </w:rPr>
        <w:t>s</w:t>
      </w:r>
      <w:r w:rsidRPr="009767C2">
        <w:rPr>
          <w:sz w:val="21"/>
          <w:szCs w:val="21"/>
        </w:rPr>
        <w:t xml:space="preserve"> range </w:t>
      </w:r>
      <w:proofErr w:type="gramStart"/>
      <w:r w:rsidRPr="009767C2">
        <w:rPr>
          <w:sz w:val="21"/>
          <w:szCs w:val="21"/>
        </w:rPr>
        <w:t>between $40</w:t>
      </w:r>
      <w:r w:rsidR="0057014E" w:rsidRPr="009767C2">
        <w:rPr>
          <w:sz w:val="21"/>
          <w:szCs w:val="21"/>
        </w:rPr>
        <w:t xml:space="preserve"> – </w:t>
      </w:r>
      <w:r w:rsidRPr="009767C2">
        <w:rPr>
          <w:sz w:val="21"/>
          <w:szCs w:val="21"/>
        </w:rPr>
        <w:t xml:space="preserve">$300 per </w:t>
      </w:r>
      <w:r w:rsidR="00B5658B" w:rsidRPr="009767C2">
        <w:rPr>
          <w:sz w:val="21"/>
          <w:szCs w:val="21"/>
        </w:rPr>
        <w:t>percentage point increase</w:t>
      </w:r>
      <w:r w:rsidR="00A24EDC" w:rsidRPr="009767C2">
        <w:rPr>
          <w:sz w:val="21"/>
          <w:szCs w:val="21"/>
        </w:rPr>
        <w:t xml:space="preserve"> per student</w:t>
      </w:r>
      <w:proofErr w:type="gramEnd"/>
      <w:r w:rsidR="00127F81" w:rsidRPr="009767C2">
        <w:rPr>
          <w:sz w:val="21"/>
          <w:szCs w:val="21"/>
        </w:rPr>
        <w:t>.</w:t>
      </w:r>
    </w:p>
    <w:p w:rsidR="003E6722" w:rsidRPr="009767C2" w:rsidRDefault="003E6722" w:rsidP="00B65643">
      <w:pPr>
        <w:numPr>
          <w:ilvl w:val="0"/>
          <w:numId w:val="4"/>
        </w:numPr>
        <w:spacing w:after="120"/>
        <w:ind w:left="426" w:right="-605" w:hanging="284"/>
        <w:rPr>
          <w:sz w:val="21"/>
          <w:szCs w:val="21"/>
        </w:rPr>
      </w:pPr>
      <w:r w:rsidRPr="009767C2">
        <w:rPr>
          <w:sz w:val="21"/>
          <w:szCs w:val="21"/>
        </w:rPr>
        <w:t xml:space="preserve">The overall </w:t>
      </w:r>
      <w:r w:rsidR="004E17B3" w:rsidRPr="009767C2">
        <w:rPr>
          <w:sz w:val="21"/>
          <w:szCs w:val="21"/>
        </w:rPr>
        <w:t xml:space="preserve">program </w:t>
      </w:r>
      <w:r w:rsidRPr="009767C2">
        <w:rPr>
          <w:sz w:val="21"/>
          <w:szCs w:val="21"/>
        </w:rPr>
        <w:t xml:space="preserve">investment </w:t>
      </w:r>
      <w:r w:rsidR="00B5658B" w:rsidRPr="009767C2">
        <w:rPr>
          <w:sz w:val="21"/>
          <w:szCs w:val="21"/>
        </w:rPr>
        <w:t xml:space="preserve">of </w:t>
      </w:r>
      <w:r w:rsidRPr="009767C2">
        <w:rPr>
          <w:sz w:val="21"/>
          <w:szCs w:val="21"/>
        </w:rPr>
        <w:t>$5</w:t>
      </w:r>
      <w:r w:rsidR="004E17B3" w:rsidRPr="009767C2">
        <w:rPr>
          <w:sz w:val="21"/>
          <w:szCs w:val="21"/>
        </w:rPr>
        <w:t>0</w:t>
      </w:r>
      <w:r w:rsidR="008B16F6" w:rsidRPr="009767C2">
        <w:rPr>
          <w:sz w:val="21"/>
          <w:szCs w:val="21"/>
        </w:rPr>
        <w:t>,</w:t>
      </w:r>
      <w:r w:rsidRPr="009767C2">
        <w:rPr>
          <w:sz w:val="21"/>
          <w:szCs w:val="21"/>
        </w:rPr>
        <w:t xml:space="preserve">000 </w:t>
      </w:r>
      <w:r w:rsidR="00B5658B" w:rsidRPr="009767C2">
        <w:rPr>
          <w:sz w:val="21"/>
          <w:szCs w:val="21"/>
        </w:rPr>
        <w:t>was</w:t>
      </w:r>
      <w:r w:rsidRPr="009767C2">
        <w:rPr>
          <w:sz w:val="21"/>
          <w:szCs w:val="21"/>
        </w:rPr>
        <w:t xml:space="preserve"> associated with an </w:t>
      </w:r>
      <w:r w:rsidR="00E221F5">
        <w:rPr>
          <w:sz w:val="21"/>
          <w:szCs w:val="21"/>
        </w:rPr>
        <w:t>increase of 1</w:t>
      </w:r>
      <w:r w:rsidR="00A24EDC" w:rsidRPr="009767C2">
        <w:rPr>
          <w:sz w:val="21"/>
          <w:szCs w:val="21"/>
        </w:rPr>
        <w:t>000 more</w:t>
      </w:r>
      <w:r w:rsidRPr="009767C2">
        <w:rPr>
          <w:sz w:val="21"/>
          <w:szCs w:val="21"/>
        </w:rPr>
        <w:t xml:space="preserve"> </w:t>
      </w:r>
      <w:r w:rsidR="004E17B3" w:rsidRPr="009767C2">
        <w:rPr>
          <w:sz w:val="21"/>
          <w:szCs w:val="21"/>
        </w:rPr>
        <w:t>Certificate III</w:t>
      </w:r>
      <w:r w:rsidRPr="009767C2">
        <w:rPr>
          <w:sz w:val="21"/>
          <w:szCs w:val="21"/>
        </w:rPr>
        <w:t xml:space="preserve"> </w:t>
      </w:r>
      <w:r w:rsidR="004E17B3" w:rsidRPr="009767C2">
        <w:rPr>
          <w:sz w:val="21"/>
          <w:szCs w:val="21"/>
        </w:rPr>
        <w:t>completion</w:t>
      </w:r>
      <w:r w:rsidR="00A24EDC" w:rsidRPr="009767C2">
        <w:rPr>
          <w:sz w:val="21"/>
          <w:szCs w:val="21"/>
        </w:rPr>
        <w:t xml:space="preserve">s than in previous years. </w:t>
      </w:r>
      <w:r w:rsidR="004E17B3" w:rsidRPr="009767C2">
        <w:rPr>
          <w:sz w:val="21"/>
          <w:szCs w:val="21"/>
        </w:rPr>
        <w:t>The average cost of $</w:t>
      </w:r>
      <w:r w:rsidR="00A24EDC" w:rsidRPr="009767C2">
        <w:rPr>
          <w:sz w:val="21"/>
          <w:szCs w:val="21"/>
        </w:rPr>
        <w:t>50</w:t>
      </w:r>
      <w:r w:rsidR="004E17B3" w:rsidRPr="009767C2">
        <w:rPr>
          <w:sz w:val="21"/>
          <w:szCs w:val="21"/>
        </w:rPr>
        <w:t xml:space="preserve"> per participant</w:t>
      </w:r>
      <w:r w:rsidRPr="009767C2">
        <w:rPr>
          <w:sz w:val="21"/>
          <w:szCs w:val="21"/>
        </w:rPr>
        <w:t xml:space="preserve"> </w:t>
      </w:r>
      <w:r w:rsidR="004E17B3" w:rsidRPr="009767C2">
        <w:rPr>
          <w:sz w:val="21"/>
          <w:szCs w:val="21"/>
        </w:rPr>
        <w:t xml:space="preserve">per </w:t>
      </w:r>
      <w:r w:rsidR="00A24EDC" w:rsidRPr="009767C2">
        <w:rPr>
          <w:sz w:val="21"/>
          <w:szCs w:val="21"/>
        </w:rPr>
        <w:t xml:space="preserve">additional completion </w:t>
      </w:r>
      <w:r w:rsidRPr="009767C2">
        <w:rPr>
          <w:sz w:val="21"/>
          <w:szCs w:val="21"/>
        </w:rPr>
        <w:t xml:space="preserve">compares favourably to </w:t>
      </w:r>
      <w:r w:rsidR="004E17B3" w:rsidRPr="009767C2">
        <w:rPr>
          <w:sz w:val="21"/>
          <w:szCs w:val="21"/>
        </w:rPr>
        <w:t>similar</w:t>
      </w:r>
      <w:r w:rsidRPr="009767C2">
        <w:rPr>
          <w:sz w:val="21"/>
          <w:szCs w:val="21"/>
        </w:rPr>
        <w:t xml:space="preserve"> prog</w:t>
      </w:r>
      <w:r w:rsidR="00A24EDC" w:rsidRPr="009767C2">
        <w:rPr>
          <w:sz w:val="21"/>
          <w:szCs w:val="21"/>
        </w:rPr>
        <w:t>rams with an average cost of $100</w:t>
      </w:r>
      <w:r w:rsidR="004E17B3" w:rsidRPr="009767C2">
        <w:rPr>
          <w:sz w:val="21"/>
          <w:szCs w:val="21"/>
        </w:rPr>
        <w:t>.</w:t>
      </w:r>
    </w:p>
    <w:p w:rsidR="007039DB" w:rsidRDefault="007039DB" w:rsidP="007039DB">
      <w:pPr>
        <w:spacing w:after="120"/>
        <w:ind w:left="142" w:right="-605"/>
        <w:jc w:val="both"/>
        <w:rPr>
          <w:sz w:val="20"/>
          <w:szCs w:val="18"/>
        </w:rPr>
      </w:pPr>
    </w:p>
    <w:p w:rsidR="007039DB" w:rsidRPr="00831630" w:rsidRDefault="007039DB" w:rsidP="007039DB">
      <w:pPr>
        <w:spacing w:after="120"/>
        <w:ind w:left="142" w:right="-605"/>
        <w:jc w:val="both"/>
        <w:rPr>
          <w:sz w:val="20"/>
          <w:szCs w:val="18"/>
        </w:rPr>
      </w:pPr>
    </w:p>
    <w:p w:rsidR="00B0584B" w:rsidRDefault="00B0584B" w:rsidP="00720A7C">
      <w:pPr>
        <w:pStyle w:val="BlockText"/>
        <w:spacing w:after="0"/>
        <w:ind w:right="0" w:hanging="811"/>
        <w:rPr>
          <w:color w:val="00B050"/>
          <w:sz w:val="32"/>
        </w:rPr>
      </w:pPr>
    </w:p>
    <w:p w:rsidR="00B0584B" w:rsidRDefault="00B0584B" w:rsidP="00FD5334">
      <w:pPr>
        <w:pStyle w:val="BlockText"/>
        <w:spacing w:after="120"/>
        <w:ind w:right="0" w:hanging="812"/>
        <w:rPr>
          <w:color w:val="00B050"/>
          <w:sz w:val="32"/>
        </w:rPr>
      </w:pPr>
    </w:p>
    <w:p w:rsidR="00B0584B" w:rsidRDefault="00B0584B" w:rsidP="00FD5334">
      <w:pPr>
        <w:pStyle w:val="BlockText"/>
        <w:spacing w:after="120"/>
        <w:ind w:right="0" w:hanging="812"/>
        <w:rPr>
          <w:color w:val="00B050"/>
          <w:sz w:val="32"/>
        </w:rPr>
        <w:sectPr w:rsidR="00B0584B" w:rsidSect="00720A7C">
          <w:footerReference w:type="first" r:id="rId19"/>
          <w:type w:val="continuous"/>
          <w:pgSz w:w="16838" w:h="11906" w:orient="landscape" w:code="9"/>
          <w:pgMar w:top="1985" w:right="1440" w:bottom="1134" w:left="1440" w:header="709" w:footer="288" w:gutter="0"/>
          <w:cols w:num="2" w:space="708"/>
          <w:titlePg/>
          <w:docGrid w:linePitch="360"/>
        </w:sectPr>
      </w:pPr>
    </w:p>
    <w:p w:rsidR="00720A7C" w:rsidRPr="00B65643" w:rsidRDefault="000B1D9A" w:rsidP="009849BE">
      <w:pPr>
        <w:pStyle w:val="Heading2"/>
        <w:spacing w:before="0"/>
        <w:jc w:val="both"/>
        <w:rPr>
          <w:color w:val="10C110"/>
          <w:szCs w:val="32"/>
        </w:rPr>
      </w:pPr>
      <w:r w:rsidRPr="00B65643">
        <w:rPr>
          <w:color w:val="10C110"/>
          <w:szCs w:val="32"/>
        </w:rPr>
        <w:lastRenderedPageBreak/>
        <w:t>Case study one</w:t>
      </w:r>
      <w:r w:rsidR="00D47147" w:rsidRPr="00B65643">
        <w:rPr>
          <w:color w:val="10C110"/>
          <w:szCs w:val="32"/>
        </w:rPr>
        <w:t xml:space="preserve"> </w:t>
      </w:r>
    </w:p>
    <w:p w:rsidR="009849BE" w:rsidRPr="00E3298E" w:rsidRDefault="00720A7C" w:rsidP="00720A7C">
      <w:pPr>
        <w:jc w:val="both"/>
        <w:rPr>
          <w:sz w:val="21"/>
          <w:szCs w:val="21"/>
        </w:rPr>
      </w:pPr>
      <w:r w:rsidRPr="00E3298E">
        <w:rPr>
          <w:sz w:val="21"/>
          <w:szCs w:val="21"/>
        </w:rPr>
        <w:t xml:space="preserve">This example is considered to meet level </w:t>
      </w:r>
      <w:r w:rsidR="000B1D9A" w:rsidRPr="00E3298E">
        <w:rPr>
          <w:sz w:val="21"/>
          <w:szCs w:val="21"/>
        </w:rPr>
        <w:t>four</w:t>
      </w:r>
      <w:r w:rsidRPr="00E3298E">
        <w:rPr>
          <w:sz w:val="21"/>
          <w:szCs w:val="21"/>
        </w:rPr>
        <w:t xml:space="preserve"> (Outcomes costed) on the investment dimension because it </w:t>
      </w:r>
      <w:r w:rsidR="00A24EDC" w:rsidRPr="00E3298E">
        <w:rPr>
          <w:sz w:val="21"/>
          <w:szCs w:val="21"/>
        </w:rPr>
        <w:t>provides</w:t>
      </w:r>
      <w:r w:rsidRPr="00E3298E">
        <w:rPr>
          <w:sz w:val="21"/>
          <w:szCs w:val="21"/>
        </w:rPr>
        <w:t xml:space="preserve"> the cost per unit of outcome.</w:t>
      </w:r>
    </w:p>
    <w:p w:rsidR="00720A7C" w:rsidRPr="00E3298E" w:rsidRDefault="00720A7C" w:rsidP="00720A7C">
      <w:pPr>
        <w:jc w:val="both"/>
        <w:rPr>
          <w:sz w:val="21"/>
          <w:szCs w:val="21"/>
        </w:rPr>
      </w:pPr>
    </w:p>
    <w:p w:rsidR="003E6722" w:rsidRPr="00E3298E" w:rsidRDefault="003E6722" w:rsidP="003E6722">
      <w:pPr>
        <w:jc w:val="both"/>
        <w:rPr>
          <w:sz w:val="21"/>
          <w:szCs w:val="21"/>
        </w:rPr>
      </w:pPr>
      <w:r w:rsidRPr="00E3298E">
        <w:rPr>
          <w:sz w:val="21"/>
          <w:szCs w:val="21"/>
        </w:rPr>
        <w:t xml:space="preserve">The </w:t>
      </w:r>
      <w:r w:rsidRPr="00E3298E">
        <w:rPr>
          <w:i/>
          <w:sz w:val="21"/>
          <w:szCs w:val="21"/>
        </w:rPr>
        <w:t>Skilling Queenslanders for Work</w:t>
      </w:r>
      <w:r w:rsidR="003F74AE" w:rsidRPr="00E3298E">
        <w:rPr>
          <w:rStyle w:val="FootnoteReference"/>
          <w:sz w:val="21"/>
          <w:szCs w:val="21"/>
        </w:rPr>
        <w:footnoteReference w:id="1"/>
      </w:r>
      <w:r w:rsidRPr="00E3298E">
        <w:rPr>
          <w:sz w:val="21"/>
          <w:szCs w:val="21"/>
        </w:rPr>
        <w:t xml:space="preserve"> </w:t>
      </w:r>
      <w:r w:rsidR="00075229" w:rsidRPr="00E3298E">
        <w:rPr>
          <w:sz w:val="21"/>
          <w:szCs w:val="21"/>
        </w:rPr>
        <w:t>(SQW) employment initiative</w:t>
      </w:r>
      <w:r w:rsidRPr="00E3298E">
        <w:rPr>
          <w:sz w:val="21"/>
          <w:szCs w:val="21"/>
        </w:rPr>
        <w:t xml:space="preserve"> was introduced in 2007 to overcome challenges in labour force participation, particularly amongst disadvantaged groups.</w:t>
      </w:r>
    </w:p>
    <w:p w:rsidR="003E6722" w:rsidRPr="00E3298E" w:rsidRDefault="003E6722" w:rsidP="003E6722">
      <w:pPr>
        <w:jc w:val="both"/>
        <w:rPr>
          <w:sz w:val="21"/>
          <w:szCs w:val="21"/>
        </w:rPr>
      </w:pPr>
    </w:p>
    <w:p w:rsidR="003E6722" w:rsidRPr="00E3298E" w:rsidRDefault="00B5658B" w:rsidP="003E6722">
      <w:pPr>
        <w:jc w:val="both"/>
        <w:rPr>
          <w:sz w:val="21"/>
          <w:szCs w:val="21"/>
        </w:rPr>
      </w:pPr>
      <w:r w:rsidRPr="00E3298E">
        <w:rPr>
          <w:sz w:val="21"/>
          <w:szCs w:val="21"/>
        </w:rPr>
        <w:t xml:space="preserve">An </w:t>
      </w:r>
      <w:r w:rsidR="003E6722" w:rsidRPr="00E3298E">
        <w:rPr>
          <w:sz w:val="21"/>
          <w:szCs w:val="21"/>
        </w:rPr>
        <w:t>evaluation</w:t>
      </w:r>
      <w:r w:rsidRPr="00E3298E">
        <w:rPr>
          <w:sz w:val="21"/>
          <w:szCs w:val="21"/>
        </w:rPr>
        <w:t xml:space="preserve"> of SQW</w:t>
      </w:r>
      <w:r w:rsidR="003E6722" w:rsidRPr="00E3298E">
        <w:rPr>
          <w:sz w:val="21"/>
          <w:szCs w:val="21"/>
        </w:rPr>
        <w:t xml:space="preserve"> found that </w:t>
      </w:r>
      <w:r w:rsidR="006273D0" w:rsidRPr="00E3298E">
        <w:rPr>
          <w:sz w:val="21"/>
          <w:szCs w:val="21"/>
        </w:rPr>
        <w:t xml:space="preserve">of </w:t>
      </w:r>
      <w:r w:rsidR="003E6722" w:rsidRPr="00E3298E">
        <w:rPr>
          <w:sz w:val="21"/>
          <w:szCs w:val="21"/>
        </w:rPr>
        <w:t>57</w:t>
      </w:r>
      <w:r w:rsidR="00E06488" w:rsidRPr="00E3298E">
        <w:rPr>
          <w:sz w:val="21"/>
          <w:szCs w:val="21"/>
        </w:rPr>
        <w:t>,</w:t>
      </w:r>
      <w:r w:rsidR="003E6722" w:rsidRPr="00E3298E">
        <w:rPr>
          <w:sz w:val="21"/>
          <w:szCs w:val="21"/>
        </w:rPr>
        <w:t xml:space="preserve">000 people </w:t>
      </w:r>
      <w:r w:rsidR="006273D0" w:rsidRPr="00E3298E">
        <w:rPr>
          <w:sz w:val="21"/>
          <w:szCs w:val="21"/>
        </w:rPr>
        <w:t xml:space="preserve">who </w:t>
      </w:r>
      <w:r w:rsidR="00725F98">
        <w:rPr>
          <w:sz w:val="21"/>
          <w:szCs w:val="21"/>
        </w:rPr>
        <w:t>gained work through SQW, 8</w:t>
      </w:r>
      <w:r w:rsidR="003E6722" w:rsidRPr="00E3298E">
        <w:rPr>
          <w:sz w:val="21"/>
          <w:szCs w:val="21"/>
        </w:rPr>
        <w:t>500 would not have found employment without the program.</w:t>
      </w:r>
    </w:p>
    <w:p w:rsidR="003E6722" w:rsidRPr="00E3298E" w:rsidRDefault="003E6722" w:rsidP="003E6722">
      <w:pPr>
        <w:jc w:val="both"/>
        <w:rPr>
          <w:sz w:val="21"/>
          <w:szCs w:val="21"/>
        </w:rPr>
      </w:pPr>
    </w:p>
    <w:p w:rsidR="003E6722" w:rsidRPr="00E3298E" w:rsidRDefault="003E6722" w:rsidP="003E6722">
      <w:pPr>
        <w:jc w:val="both"/>
        <w:rPr>
          <w:sz w:val="21"/>
          <w:szCs w:val="21"/>
        </w:rPr>
      </w:pPr>
      <w:r w:rsidRPr="00E3298E">
        <w:rPr>
          <w:sz w:val="21"/>
          <w:szCs w:val="21"/>
        </w:rPr>
        <w:t>The investment of about $</w:t>
      </w:r>
      <w:r w:rsidR="004E17B3" w:rsidRPr="00E3298E">
        <w:rPr>
          <w:sz w:val="21"/>
          <w:szCs w:val="21"/>
        </w:rPr>
        <w:t xml:space="preserve">90 </w:t>
      </w:r>
      <w:r w:rsidRPr="00E3298E">
        <w:rPr>
          <w:sz w:val="21"/>
          <w:szCs w:val="21"/>
        </w:rPr>
        <w:t>million a year added about $</w:t>
      </w:r>
      <w:r w:rsidR="004E17B3" w:rsidRPr="00E3298E">
        <w:rPr>
          <w:sz w:val="21"/>
          <w:szCs w:val="21"/>
        </w:rPr>
        <w:t xml:space="preserve">3.4 </w:t>
      </w:r>
      <w:r w:rsidRPr="00E3298E">
        <w:rPr>
          <w:sz w:val="21"/>
          <w:szCs w:val="21"/>
        </w:rPr>
        <w:t>bi</w:t>
      </w:r>
      <w:r w:rsidR="00A24EDC" w:rsidRPr="00E3298E">
        <w:rPr>
          <w:sz w:val="21"/>
          <w:szCs w:val="21"/>
        </w:rPr>
        <w:t xml:space="preserve">llion to the Queensland economy, as a result of </w:t>
      </w:r>
      <w:r w:rsidR="00D9600B" w:rsidRPr="00E3298E">
        <w:rPr>
          <w:sz w:val="21"/>
          <w:szCs w:val="21"/>
        </w:rPr>
        <w:t>the</w:t>
      </w:r>
      <w:r w:rsidR="00A24EDC" w:rsidRPr="00E3298E">
        <w:rPr>
          <w:sz w:val="21"/>
          <w:szCs w:val="21"/>
        </w:rPr>
        <w:t xml:space="preserve"> additional 8 500 </w:t>
      </w:r>
      <w:r w:rsidR="00D9600B" w:rsidRPr="00E3298E">
        <w:rPr>
          <w:sz w:val="21"/>
          <w:szCs w:val="21"/>
        </w:rPr>
        <w:t xml:space="preserve">who </w:t>
      </w:r>
      <w:r w:rsidR="00A24EDC" w:rsidRPr="00E3298E">
        <w:rPr>
          <w:sz w:val="21"/>
          <w:szCs w:val="21"/>
        </w:rPr>
        <w:t>bec</w:t>
      </w:r>
      <w:r w:rsidR="00D9600B" w:rsidRPr="00E3298E">
        <w:rPr>
          <w:sz w:val="21"/>
          <w:szCs w:val="21"/>
        </w:rPr>
        <w:t>ame</w:t>
      </w:r>
      <w:r w:rsidR="00A24EDC" w:rsidRPr="00E3298E">
        <w:rPr>
          <w:sz w:val="21"/>
          <w:szCs w:val="21"/>
        </w:rPr>
        <w:t xml:space="preserve"> gainfully employed rather than welfare recipients.</w:t>
      </w:r>
    </w:p>
    <w:p w:rsidR="003E6722" w:rsidRPr="00E3298E" w:rsidRDefault="003E6722" w:rsidP="003E6722">
      <w:pPr>
        <w:jc w:val="both"/>
        <w:rPr>
          <w:sz w:val="21"/>
          <w:szCs w:val="21"/>
        </w:rPr>
      </w:pPr>
    </w:p>
    <w:p w:rsidR="003E6722" w:rsidRPr="00E3298E" w:rsidRDefault="00B5658B" w:rsidP="003E6722">
      <w:pPr>
        <w:jc w:val="both"/>
        <w:rPr>
          <w:sz w:val="21"/>
          <w:szCs w:val="21"/>
        </w:rPr>
      </w:pPr>
      <w:r w:rsidRPr="00E3298E">
        <w:rPr>
          <w:sz w:val="21"/>
          <w:szCs w:val="21"/>
        </w:rPr>
        <w:t>The</w:t>
      </w:r>
      <w:r w:rsidR="003E6722" w:rsidRPr="00E3298E">
        <w:rPr>
          <w:sz w:val="21"/>
          <w:szCs w:val="21"/>
        </w:rPr>
        <w:t xml:space="preserve"> </w:t>
      </w:r>
      <w:r w:rsidR="00D15714" w:rsidRPr="00E3298E">
        <w:rPr>
          <w:sz w:val="21"/>
          <w:szCs w:val="21"/>
        </w:rPr>
        <w:t>benefit-to-cost</w:t>
      </w:r>
      <w:r w:rsidR="003E6722" w:rsidRPr="00E3298E">
        <w:rPr>
          <w:sz w:val="21"/>
          <w:szCs w:val="21"/>
        </w:rPr>
        <w:t xml:space="preserve"> ratio </w:t>
      </w:r>
      <w:r w:rsidRPr="00E3298E">
        <w:rPr>
          <w:sz w:val="21"/>
          <w:szCs w:val="21"/>
        </w:rPr>
        <w:t>was</w:t>
      </w:r>
      <w:r w:rsidR="003E6722" w:rsidRPr="00E3298E">
        <w:rPr>
          <w:sz w:val="21"/>
          <w:szCs w:val="21"/>
        </w:rPr>
        <w:t xml:space="preserve"> 7.6 </w:t>
      </w:r>
      <w:r w:rsidR="00F0202F" w:rsidRPr="00E3298E">
        <w:rPr>
          <w:sz w:val="21"/>
          <w:szCs w:val="21"/>
        </w:rPr>
        <w:t>over 10 years</w:t>
      </w:r>
      <w:r w:rsidR="003E6722" w:rsidRPr="00E3298E">
        <w:rPr>
          <w:sz w:val="21"/>
          <w:szCs w:val="21"/>
        </w:rPr>
        <w:t xml:space="preserve"> which </w:t>
      </w:r>
      <w:proofErr w:type="gramStart"/>
      <w:r w:rsidR="003E6722" w:rsidRPr="00E3298E">
        <w:rPr>
          <w:sz w:val="21"/>
          <w:szCs w:val="21"/>
        </w:rPr>
        <w:t>means</w:t>
      </w:r>
      <w:proofErr w:type="gramEnd"/>
      <w:r w:rsidR="003E6722" w:rsidRPr="00E3298E">
        <w:rPr>
          <w:sz w:val="21"/>
          <w:szCs w:val="21"/>
        </w:rPr>
        <w:t xml:space="preserve"> a return of $7.60 on every dollar invested. The </w:t>
      </w:r>
      <w:r w:rsidRPr="00E3298E">
        <w:rPr>
          <w:sz w:val="21"/>
          <w:szCs w:val="21"/>
        </w:rPr>
        <w:t xml:space="preserve">evaluation </w:t>
      </w:r>
      <w:r w:rsidR="003E6722" w:rsidRPr="00E3298E">
        <w:rPr>
          <w:sz w:val="21"/>
          <w:szCs w:val="21"/>
        </w:rPr>
        <w:t>also found:</w:t>
      </w:r>
    </w:p>
    <w:p w:rsidR="003E6722" w:rsidRPr="00E3298E" w:rsidRDefault="003E6722" w:rsidP="003E6722">
      <w:pPr>
        <w:jc w:val="both"/>
        <w:rPr>
          <w:sz w:val="21"/>
          <w:szCs w:val="21"/>
        </w:rPr>
      </w:pPr>
    </w:p>
    <w:p w:rsidR="003E6722" w:rsidRPr="00E3298E" w:rsidRDefault="003E6722" w:rsidP="00D054A3">
      <w:pPr>
        <w:numPr>
          <w:ilvl w:val="0"/>
          <w:numId w:val="5"/>
        </w:numPr>
        <w:ind w:left="426"/>
        <w:jc w:val="both"/>
        <w:rPr>
          <w:sz w:val="21"/>
          <w:szCs w:val="21"/>
        </w:rPr>
      </w:pPr>
      <w:r w:rsidRPr="00E3298E">
        <w:rPr>
          <w:sz w:val="21"/>
          <w:szCs w:val="21"/>
        </w:rPr>
        <w:t xml:space="preserve">SQW delivered significant social value by improving physical and mental </w:t>
      </w:r>
      <w:r w:rsidR="00D54FF0" w:rsidRPr="00E3298E">
        <w:rPr>
          <w:sz w:val="21"/>
          <w:szCs w:val="21"/>
        </w:rPr>
        <w:t xml:space="preserve">wellbeing </w:t>
      </w:r>
      <w:r w:rsidRPr="00E3298E">
        <w:rPr>
          <w:sz w:val="21"/>
          <w:szCs w:val="21"/>
        </w:rPr>
        <w:t>and intergenerational benefits</w:t>
      </w:r>
    </w:p>
    <w:p w:rsidR="003E6722" w:rsidRPr="00E3298E" w:rsidRDefault="003E6722" w:rsidP="003E6722">
      <w:pPr>
        <w:ind w:left="426"/>
        <w:jc w:val="both"/>
        <w:rPr>
          <w:sz w:val="21"/>
          <w:szCs w:val="21"/>
        </w:rPr>
      </w:pPr>
    </w:p>
    <w:p w:rsidR="003E6722" w:rsidRPr="00E3298E" w:rsidRDefault="004E6E6D" w:rsidP="00D054A3">
      <w:pPr>
        <w:numPr>
          <w:ilvl w:val="0"/>
          <w:numId w:val="5"/>
        </w:numPr>
        <w:ind w:left="426"/>
        <w:jc w:val="both"/>
        <w:rPr>
          <w:sz w:val="21"/>
          <w:szCs w:val="21"/>
        </w:rPr>
      </w:pPr>
      <w:proofErr w:type="gramStart"/>
      <w:r>
        <w:rPr>
          <w:sz w:val="21"/>
          <w:szCs w:val="21"/>
        </w:rPr>
        <w:t>t</w:t>
      </w:r>
      <w:r w:rsidR="00F0202F" w:rsidRPr="00E3298E">
        <w:rPr>
          <w:sz w:val="21"/>
          <w:szCs w:val="21"/>
        </w:rPr>
        <w:t>he</w:t>
      </w:r>
      <w:proofErr w:type="gramEnd"/>
      <w:r w:rsidR="00F0202F" w:rsidRPr="00E3298E">
        <w:rPr>
          <w:sz w:val="21"/>
          <w:szCs w:val="21"/>
        </w:rPr>
        <w:t xml:space="preserve"> social benefits of the program also translated into wider economic benefits over the longer term including reduced health and social service costs and saving</w:t>
      </w:r>
      <w:r w:rsidR="00725F98">
        <w:rPr>
          <w:sz w:val="21"/>
          <w:szCs w:val="21"/>
        </w:rPr>
        <w:t>s</w:t>
      </w:r>
      <w:r w:rsidR="00F0202F" w:rsidRPr="00E3298E">
        <w:rPr>
          <w:sz w:val="21"/>
          <w:szCs w:val="21"/>
        </w:rPr>
        <w:t xml:space="preserve"> in the criminal justice system. </w:t>
      </w:r>
    </w:p>
    <w:p w:rsidR="003E6722" w:rsidRPr="00E3298E" w:rsidRDefault="003E6722" w:rsidP="003E6722">
      <w:pPr>
        <w:jc w:val="both"/>
        <w:rPr>
          <w:sz w:val="21"/>
          <w:szCs w:val="21"/>
        </w:rPr>
      </w:pPr>
    </w:p>
    <w:p w:rsidR="003E6722" w:rsidRPr="00E3298E" w:rsidRDefault="003E6722" w:rsidP="003E6722">
      <w:pPr>
        <w:jc w:val="both"/>
        <w:rPr>
          <w:sz w:val="21"/>
          <w:szCs w:val="21"/>
        </w:rPr>
      </w:pPr>
      <w:r w:rsidRPr="00E3298E">
        <w:rPr>
          <w:sz w:val="21"/>
          <w:szCs w:val="21"/>
        </w:rPr>
        <w:t xml:space="preserve">The </w:t>
      </w:r>
      <w:r w:rsidR="00B5658B" w:rsidRPr="00E3298E">
        <w:rPr>
          <w:sz w:val="21"/>
          <w:szCs w:val="21"/>
        </w:rPr>
        <w:t xml:space="preserve">evaluation </w:t>
      </w:r>
      <w:r w:rsidRPr="00E3298E">
        <w:rPr>
          <w:sz w:val="21"/>
          <w:szCs w:val="21"/>
        </w:rPr>
        <w:t>projected that SQW would yield a further $1.2 billion in state tax receipts by 2020.</w:t>
      </w:r>
    </w:p>
    <w:p w:rsidR="003E6722" w:rsidRPr="00B65643" w:rsidRDefault="004E17B3" w:rsidP="00D47147">
      <w:pPr>
        <w:pStyle w:val="Heading2"/>
        <w:spacing w:before="0"/>
        <w:jc w:val="both"/>
        <w:rPr>
          <w:color w:val="10C110"/>
        </w:rPr>
      </w:pPr>
      <w:r>
        <w:rPr>
          <w:sz w:val="20"/>
        </w:rPr>
        <w:br w:type="column"/>
      </w:r>
      <w:r w:rsidR="000B1D9A" w:rsidRPr="00B65643">
        <w:rPr>
          <w:color w:val="10C110"/>
          <w:szCs w:val="32"/>
        </w:rPr>
        <w:lastRenderedPageBreak/>
        <w:t>Case study</w:t>
      </w:r>
      <w:r w:rsidR="003E6722" w:rsidRPr="00B65643">
        <w:rPr>
          <w:color w:val="10C110"/>
          <w:szCs w:val="32"/>
        </w:rPr>
        <w:t xml:space="preserve"> </w:t>
      </w:r>
      <w:r w:rsidR="000B1D9A" w:rsidRPr="00B65643">
        <w:rPr>
          <w:color w:val="10C110"/>
          <w:szCs w:val="32"/>
        </w:rPr>
        <w:t>two</w:t>
      </w:r>
      <w:r w:rsidR="00D80D25" w:rsidRPr="00B65643">
        <w:rPr>
          <w:color w:val="10C110"/>
          <w:szCs w:val="32"/>
        </w:rPr>
        <w:t xml:space="preserve"> </w:t>
      </w:r>
    </w:p>
    <w:p w:rsidR="00075229" w:rsidRPr="00E3298E" w:rsidRDefault="00075229" w:rsidP="003E6722">
      <w:pPr>
        <w:jc w:val="both"/>
        <w:rPr>
          <w:sz w:val="21"/>
          <w:szCs w:val="21"/>
        </w:rPr>
      </w:pPr>
      <w:r w:rsidRPr="00E3298E">
        <w:rPr>
          <w:sz w:val="21"/>
          <w:szCs w:val="21"/>
        </w:rPr>
        <w:t>This example is considered to</w:t>
      </w:r>
      <w:r w:rsidR="000B1D9A" w:rsidRPr="00E3298E">
        <w:rPr>
          <w:sz w:val="21"/>
          <w:szCs w:val="21"/>
        </w:rPr>
        <w:t xml:space="preserve"> meet level five</w:t>
      </w:r>
      <w:r w:rsidRPr="00E3298E">
        <w:rPr>
          <w:sz w:val="21"/>
          <w:szCs w:val="21"/>
        </w:rPr>
        <w:t xml:space="preserve"> (Cost effec</w:t>
      </w:r>
      <w:r w:rsidR="0067087D" w:rsidRPr="00E3298E">
        <w:rPr>
          <w:sz w:val="21"/>
          <w:szCs w:val="21"/>
        </w:rPr>
        <w:t>tive) as it calculates the cost-</w:t>
      </w:r>
      <w:r w:rsidRPr="00E3298E">
        <w:rPr>
          <w:sz w:val="21"/>
          <w:szCs w:val="21"/>
        </w:rPr>
        <w:t>effectiveness of rapid assessment relative to other initiatives.</w:t>
      </w:r>
    </w:p>
    <w:p w:rsidR="00075229" w:rsidRPr="00E3298E" w:rsidRDefault="00075229" w:rsidP="003E6722">
      <w:pPr>
        <w:jc w:val="both"/>
        <w:rPr>
          <w:sz w:val="21"/>
          <w:szCs w:val="21"/>
        </w:rPr>
      </w:pPr>
    </w:p>
    <w:p w:rsidR="003E6722" w:rsidRPr="00E3298E" w:rsidRDefault="003E6722" w:rsidP="003E6722">
      <w:pPr>
        <w:jc w:val="both"/>
        <w:rPr>
          <w:sz w:val="21"/>
          <w:szCs w:val="21"/>
        </w:rPr>
      </w:pPr>
      <w:r w:rsidRPr="00E3298E">
        <w:rPr>
          <w:sz w:val="21"/>
          <w:szCs w:val="21"/>
        </w:rPr>
        <w:t>In 2010</w:t>
      </w:r>
      <w:r w:rsidR="0043375F" w:rsidRPr="00E3298E">
        <w:rPr>
          <w:rStyle w:val="FootnoteReference"/>
          <w:sz w:val="21"/>
          <w:szCs w:val="21"/>
        </w:rPr>
        <w:footnoteReference w:id="2"/>
      </w:r>
      <w:r w:rsidRPr="00E3298E">
        <w:rPr>
          <w:sz w:val="21"/>
          <w:szCs w:val="21"/>
        </w:rPr>
        <w:t xml:space="preserve">, Stuart </w:t>
      </w:r>
      <w:r w:rsidR="0067087D" w:rsidRPr="00E3298E">
        <w:rPr>
          <w:sz w:val="21"/>
          <w:szCs w:val="21"/>
        </w:rPr>
        <w:t>Yeh evaluated the relative cost-</w:t>
      </w:r>
      <w:r w:rsidRPr="00E3298E">
        <w:rPr>
          <w:sz w:val="21"/>
          <w:szCs w:val="21"/>
        </w:rPr>
        <w:t>effectiveness of</w:t>
      </w:r>
      <w:r w:rsidR="00592E38" w:rsidRPr="00E3298E">
        <w:rPr>
          <w:sz w:val="21"/>
          <w:szCs w:val="21"/>
        </w:rPr>
        <w:t xml:space="preserve"> 22 initiatives </w:t>
      </w:r>
      <w:r w:rsidR="003F74AE" w:rsidRPr="00E3298E">
        <w:rPr>
          <w:sz w:val="21"/>
          <w:szCs w:val="21"/>
        </w:rPr>
        <w:t>focused on improving</w:t>
      </w:r>
      <w:r w:rsidR="00592E38" w:rsidRPr="00E3298E">
        <w:rPr>
          <w:sz w:val="21"/>
          <w:szCs w:val="21"/>
        </w:rPr>
        <w:t xml:space="preserve"> student outcomes such as rapid assessment</w:t>
      </w:r>
      <w:r w:rsidR="00D54FF0" w:rsidRPr="00E3298E">
        <w:rPr>
          <w:sz w:val="21"/>
          <w:szCs w:val="21"/>
        </w:rPr>
        <w:t xml:space="preserve"> (involving systems where rapid and frequent feedback on performance is given to students). This was compared to a</w:t>
      </w:r>
      <w:r w:rsidR="00592E38" w:rsidRPr="00E3298E">
        <w:rPr>
          <w:sz w:val="21"/>
          <w:szCs w:val="21"/>
        </w:rPr>
        <w:t xml:space="preserve"> longer school day, cross-age tutoring, </w:t>
      </w:r>
      <w:proofErr w:type="gramStart"/>
      <w:r w:rsidR="00592E38" w:rsidRPr="00E3298E">
        <w:rPr>
          <w:sz w:val="21"/>
          <w:szCs w:val="21"/>
        </w:rPr>
        <w:t>increases</w:t>
      </w:r>
      <w:proofErr w:type="gramEnd"/>
      <w:r w:rsidR="00592E38" w:rsidRPr="00E3298E">
        <w:rPr>
          <w:sz w:val="21"/>
          <w:szCs w:val="21"/>
        </w:rPr>
        <w:t xml:space="preserve"> in teacher education and voucher programs.</w:t>
      </w:r>
    </w:p>
    <w:p w:rsidR="00B237AD" w:rsidRPr="00E3298E" w:rsidRDefault="00B237AD" w:rsidP="003E6722">
      <w:pPr>
        <w:jc w:val="both"/>
        <w:rPr>
          <w:sz w:val="21"/>
          <w:szCs w:val="21"/>
        </w:rPr>
      </w:pPr>
    </w:p>
    <w:p w:rsidR="003E6722" w:rsidRPr="00E3298E" w:rsidRDefault="0067087D" w:rsidP="009849BE">
      <w:pPr>
        <w:jc w:val="both"/>
        <w:rPr>
          <w:sz w:val="21"/>
          <w:szCs w:val="21"/>
        </w:rPr>
      </w:pPr>
      <w:r w:rsidRPr="00E3298E">
        <w:rPr>
          <w:sz w:val="21"/>
          <w:szCs w:val="21"/>
        </w:rPr>
        <w:t>Cost-</w:t>
      </w:r>
      <w:r w:rsidR="00592E38" w:rsidRPr="00E3298E">
        <w:rPr>
          <w:sz w:val="21"/>
          <w:szCs w:val="21"/>
        </w:rPr>
        <w:t>effectiveness ratios for each initiative w</w:t>
      </w:r>
      <w:r w:rsidR="00D54FF0" w:rsidRPr="00E3298E">
        <w:rPr>
          <w:sz w:val="21"/>
          <w:szCs w:val="21"/>
        </w:rPr>
        <w:t>ere</w:t>
      </w:r>
      <w:r w:rsidR="00592E38" w:rsidRPr="00E3298E">
        <w:rPr>
          <w:sz w:val="21"/>
          <w:szCs w:val="21"/>
        </w:rPr>
        <w:t xml:space="preserve"> calculated by dividing the annual effect size gain</w:t>
      </w:r>
      <w:r w:rsidR="00E06488" w:rsidRPr="00E3298E">
        <w:rPr>
          <w:sz w:val="21"/>
          <w:szCs w:val="21"/>
        </w:rPr>
        <w:t xml:space="preserve"> </w:t>
      </w:r>
      <w:r w:rsidR="00592E38" w:rsidRPr="00E3298E">
        <w:rPr>
          <w:sz w:val="21"/>
          <w:szCs w:val="21"/>
        </w:rPr>
        <w:t xml:space="preserve">by the cost per student. </w:t>
      </w:r>
      <w:proofErr w:type="spellStart"/>
      <w:r w:rsidR="00270EE5">
        <w:rPr>
          <w:sz w:val="21"/>
          <w:szCs w:val="21"/>
        </w:rPr>
        <w:t>Yeh</w:t>
      </w:r>
      <w:proofErr w:type="spellEnd"/>
      <w:r w:rsidR="00270EE5" w:rsidRPr="00E3298E">
        <w:rPr>
          <w:sz w:val="21"/>
          <w:szCs w:val="21"/>
        </w:rPr>
        <w:t xml:space="preserve"> </w:t>
      </w:r>
      <w:r w:rsidR="00592E38" w:rsidRPr="00E3298E">
        <w:rPr>
          <w:sz w:val="21"/>
          <w:szCs w:val="21"/>
        </w:rPr>
        <w:t>found that</w:t>
      </w:r>
      <w:r w:rsidR="00026296" w:rsidRPr="00E3298E">
        <w:rPr>
          <w:sz w:val="21"/>
          <w:szCs w:val="21"/>
        </w:rPr>
        <w:t xml:space="preserve"> rapid assessment was more cost </w:t>
      </w:r>
      <w:r w:rsidR="00592E38" w:rsidRPr="00E3298E">
        <w:rPr>
          <w:sz w:val="21"/>
          <w:szCs w:val="21"/>
        </w:rPr>
        <w:t>effective than any of the</w:t>
      </w:r>
      <w:r w:rsidR="004E6E6D">
        <w:rPr>
          <w:sz w:val="21"/>
          <w:szCs w:val="21"/>
        </w:rPr>
        <w:t xml:space="preserve"> 21</w:t>
      </w:r>
      <w:r w:rsidR="00592E38" w:rsidRPr="00E3298E">
        <w:rPr>
          <w:sz w:val="21"/>
          <w:szCs w:val="21"/>
        </w:rPr>
        <w:t xml:space="preserve"> alternative initiatives</w:t>
      </w:r>
      <w:r w:rsidR="004E6E6D">
        <w:rPr>
          <w:sz w:val="21"/>
          <w:szCs w:val="21"/>
        </w:rPr>
        <w:t xml:space="preserve"> </w:t>
      </w:r>
      <w:r w:rsidR="00D9600B" w:rsidRPr="00E3298E">
        <w:rPr>
          <w:sz w:val="21"/>
          <w:szCs w:val="21"/>
        </w:rPr>
        <w:t xml:space="preserve">examined. </w:t>
      </w:r>
    </w:p>
    <w:p w:rsidR="003E6722" w:rsidRPr="00E3298E" w:rsidRDefault="003E6722" w:rsidP="009849BE">
      <w:pPr>
        <w:jc w:val="both"/>
        <w:rPr>
          <w:sz w:val="21"/>
          <w:szCs w:val="21"/>
        </w:rPr>
      </w:pPr>
    </w:p>
    <w:p w:rsidR="003E6722" w:rsidRDefault="003E6722" w:rsidP="00720A7C">
      <w:pPr>
        <w:autoSpaceDE w:val="0"/>
        <w:autoSpaceDN w:val="0"/>
        <w:adjustRightInd w:val="0"/>
        <w:rPr>
          <w:sz w:val="18"/>
        </w:rPr>
      </w:pPr>
    </w:p>
    <w:p w:rsidR="003E6722" w:rsidRDefault="003E6722" w:rsidP="009849BE">
      <w:pPr>
        <w:jc w:val="both"/>
        <w:rPr>
          <w:sz w:val="18"/>
        </w:rPr>
      </w:pPr>
    </w:p>
    <w:p w:rsidR="003E6722" w:rsidRDefault="003E6722" w:rsidP="009849BE">
      <w:pPr>
        <w:jc w:val="both"/>
        <w:rPr>
          <w:sz w:val="18"/>
        </w:rPr>
      </w:pPr>
    </w:p>
    <w:p w:rsidR="003E6722" w:rsidRDefault="003E6722" w:rsidP="009849BE">
      <w:pPr>
        <w:jc w:val="both"/>
        <w:rPr>
          <w:sz w:val="18"/>
        </w:rPr>
      </w:pPr>
    </w:p>
    <w:p w:rsidR="003E6722" w:rsidRDefault="003E6722" w:rsidP="009849BE">
      <w:pPr>
        <w:jc w:val="both"/>
        <w:rPr>
          <w:sz w:val="18"/>
        </w:rPr>
      </w:pPr>
    </w:p>
    <w:p w:rsidR="003F27A9" w:rsidRDefault="003F27A9" w:rsidP="009849BE">
      <w:pPr>
        <w:jc w:val="both"/>
        <w:rPr>
          <w:sz w:val="20"/>
        </w:rPr>
      </w:pPr>
    </w:p>
    <w:p w:rsidR="009849BE" w:rsidRPr="00C801C6" w:rsidRDefault="009849BE" w:rsidP="00AD4109">
      <w:pPr>
        <w:pStyle w:val="BlockText"/>
        <w:spacing w:after="120"/>
        <w:ind w:right="240" w:hanging="812"/>
        <w:jc w:val="right"/>
        <w:rPr>
          <w:color w:val="00B050"/>
          <w:sz w:val="16"/>
          <w:szCs w:val="16"/>
        </w:rPr>
        <w:sectPr w:rsidR="009849BE" w:rsidRPr="00C801C6" w:rsidSect="003F27A9">
          <w:headerReference w:type="first" r:id="rId20"/>
          <w:type w:val="continuous"/>
          <w:pgSz w:w="16838" w:h="11906" w:orient="landscape" w:code="9"/>
          <w:pgMar w:top="1560" w:right="962" w:bottom="851" w:left="851" w:header="709" w:footer="288" w:gutter="0"/>
          <w:cols w:num="2" w:space="851"/>
          <w:titlePg/>
          <w:docGrid w:linePitch="360"/>
        </w:sectPr>
      </w:pPr>
    </w:p>
    <w:p w:rsidR="00FD5334" w:rsidRPr="00B65643" w:rsidRDefault="009C4D19" w:rsidP="00FD5334">
      <w:pPr>
        <w:pStyle w:val="BlockText"/>
        <w:spacing w:after="120"/>
        <w:ind w:right="0" w:hanging="812"/>
        <w:rPr>
          <w:b/>
          <w:color w:val="10C110"/>
          <w:sz w:val="32"/>
        </w:rPr>
      </w:pPr>
      <w:r w:rsidRPr="00B65643">
        <w:rPr>
          <w:b/>
          <w:color w:val="10C110"/>
          <w:sz w:val="32"/>
        </w:rPr>
        <w:lastRenderedPageBreak/>
        <w:t>Ways of</w:t>
      </w:r>
      <w:r w:rsidR="00FD5334" w:rsidRPr="00B65643">
        <w:rPr>
          <w:b/>
          <w:color w:val="10C110"/>
          <w:sz w:val="32"/>
        </w:rPr>
        <w:t xml:space="preserve"> </w:t>
      </w:r>
      <w:r w:rsidR="00A35824" w:rsidRPr="00B65643">
        <w:rPr>
          <w:b/>
          <w:color w:val="10C110"/>
          <w:sz w:val="32"/>
        </w:rPr>
        <w:t>measur</w:t>
      </w:r>
      <w:r w:rsidRPr="00B65643">
        <w:rPr>
          <w:b/>
          <w:color w:val="10C110"/>
          <w:sz w:val="32"/>
        </w:rPr>
        <w:t>ing</w:t>
      </w:r>
      <w:r w:rsidR="00A35824" w:rsidRPr="00B65643">
        <w:rPr>
          <w:b/>
          <w:color w:val="10C110"/>
          <w:sz w:val="32"/>
        </w:rPr>
        <w:t xml:space="preserve"> value</w:t>
      </w:r>
    </w:p>
    <w:p w:rsidR="009849BE" w:rsidRPr="00B0584B" w:rsidRDefault="009849BE" w:rsidP="009849BE">
      <w:pPr>
        <w:pStyle w:val="BlockText"/>
        <w:spacing w:after="0" w:line="240" w:lineRule="auto"/>
        <w:jc w:val="both"/>
        <w:rPr>
          <w:sz w:val="20"/>
        </w:rPr>
      </w:pPr>
    </w:p>
    <w:p w:rsidR="00FD5334" w:rsidRPr="00E3298E" w:rsidRDefault="00FD5334" w:rsidP="00A35824">
      <w:pPr>
        <w:pStyle w:val="BlockText"/>
        <w:spacing w:after="0" w:line="240" w:lineRule="auto"/>
        <w:ind w:left="-851"/>
        <w:jc w:val="both"/>
        <w:rPr>
          <w:sz w:val="21"/>
          <w:szCs w:val="21"/>
        </w:rPr>
      </w:pPr>
      <w:r w:rsidRPr="00E3298E">
        <w:rPr>
          <w:sz w:val="21"/>
          <w:szCs w:val="21"/>
        </w:rPr>
        <w:t xml:space="preserve">There are a number of ways </w:t>
      </w:r>
      <w:r w:rsidR="009C4D19" w:rsidRPr="00E3298E">
        <w:rPr>
          <w:sz w:val="21"/>
          <w:szCs w:val="21"/>
        </w:rPr>
        <w:t>to measure investment and the value of your initiative</w:t>
      </w:r>
      <w:r w:rsidRPr="00E3298E">
        <w:rPr>
          <w:sz w:val="21"/>
          <w:szCs w:val="21"/>
        </w:rPr>
        <w:t xml:space="preserve">. </w:t>
      </w:r>
      <w:r w:rsidR="00A35824" w:rsidRPr="00E3298E">
        <w:rPr>
          <w:sz w:val="21"/>
          <w:szCs w:val="21"/>
        </w:rPr>
        <w:t>Cost-effectiveness analysis and benefit-cost analysis are two approaches.</w:t>
      </w:r>
    </w:p>
    <w:p w:rsidR="009849BE" w:rsidRPr="00B0584B" w:rsidRDefault="009849BE" w:rsidP="009849BE">
      <w:pPr>
        <w:pStyle w:val="BlockText"/>
        <w:spacing w:after="0" w:line="240" w:lineRule="auto"/>
        <w:jc w:val="both"/>
        <w:rPr>
          <w:sz w:val="20"/>
        </w:rPr>
      </w:pP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7087"/>
      </w:tblGrid>
      <w:tr w:rsidR="00A35824" w:rsidRPr="00B0584B" w:rsidTr="001F57D8">
        <w:trPr>
          <w:trHeight w:val="538"/>
        </w:trPr>
        <w:tc>
          <w:tcPr>
            <w:tcW w:w="2500" w:type="pct"/>
            <w:tcBorders>
              <w:top w:val="nil"/>
              <w:left w:val="nil"/>
              <w:bottom w:val="nil"/>
              <w:right w:val="single" w:sz="48" w:space="0" w:color="FFFFFF"/>
            </w:tcBorders>
            <w:shd w:val="clear" w:color="auto" w:fill="10C110"/>
            <w:vAlign w:val="center"/>
          </w:tcPr>
          <w:p w:rsidR="00A35824" w:rsidRPr="00B0584B" w:rsidRDefault="00A35824" w:rsidP="008C394F">
            <w:pPr>
              <w:spacing w:before="60" w:after="60"/>
              <w:jc w:val="center"/>
              <w:rPr>
                <w:color w:val="FFFFFF"/>
              </w:rPr>
            </w:pPr>
            <w:r>
              <w:rPr>
                <w:color w:val="FFFFFF"/>
              </w:rPr>
              <w:t>Cost-effectiveness analysis</w:t>
            </w:r>
            <w:r w:rsidR="008C394F">
              <w:rPr>
                <w:color w:val="FFFFFF"/>
              </w:rPr>
              <w:t xml:space="preserve"> (levels three, four and five)</w:t>
            </w:r>
          </w:p>
        </w:tc>
        <w:tc>
          <w:tcPr>
            <w:tcW w:w="2500" w:type="pct"/>
            <w:tcBorders>
              <w:top w:val="nil"/>
              <w:left w:val="single" w:sz="48" w:space="0" w:color="FFFFFF"/>
              <w:bottom w:val="nil"/>
              <w:right w:val="single" w:sz="48" w:space="0" w:color="FFFFFF"/>
            </w:tcBorders>
            <w:shd w:val="clear" w:color="auto" w:fill="00B2E3"/>
            <w:vAlign w:val="center"/>
          </w:tcPr>
          <w:p w:rsidR="00A35824" w:rsidRPr="00B0584B" w:rsidRDefault="00A35824" w:rsidP="00FC27A6">
            <w:pPr>
              <w:spacing w:before="60" w:after="60"/>
              <w:jc w:val="center"/>
              <w:rPr>
                <w:color w:val="FFFFFF"/>
              </w:rPr>
            </w:pPr>
            <w:r>
              <w:rPr>
                <w:color w:val="FFFFFF"/>
              </w:rPr>
              <w:t>Benefit-cost analysis</w:t>
            </w:r>
            <w:r w:rsidR="008C394F">
              <w:rPr>
                <w:color w:val="FFFFFF"/>
              </w:rPr>
              <w:t xml:space="preserve"> (levels four and five)</w:t>
            </w:r>
          </w:p>
        </w:tc>
      </w:tr>
      <w:tr w:rsidR="00A35824" w:rsidRPr="00B0584B" w:rsidTr="001F57D8">
        <w:trPr>
          <w:trHeight w:val="5674"/>
        </w:trPr>
        <w:tc>
          <w:tcPr>
            <w:tcW w:w="2500" w:type="pct"/>
            <w:tcBorders>
              <w:top w:val="nil"/>
              <w:left w:val="nil"/>
              <w:bottom w:val="single" w:sz="48" w:space="0" w:color="FFFFFF"/>
              <w:right w:val="single" w:sz="48" w:space="0" w:color="FFFFFF"/>
            </w:tcBorders>
            <w:shd w:val="clear" w:color="auto" w:fill="FFFFFF" w:themeFill="background1"/>
          </w:tcPr>
          <w:p w:rsidR="00A35824" w:rsidRPr="00B0584B" w:rsidRDefault="00A35824" w:rsidP="00FC27A6">
            <w:pPr>
              <w:pStyle w:val="ListBullet"/>
              <w:numPr>
                <w:ilvl w:val="0"/>
                <w:numId w:val="0"/>
              </w:numPr>
              <w:tabs>
                <w:tab w:val="left" w:pos="1827"/>
              </w:tabs>
              <w:spacing w:after="0"/>
              <w:ind w:left="153" w:right="312"/>
              <w:contextualSpacing w:val="0"/>
              <w:rPr>
                <w:sz w:val="18"/>
                <w:szCs w:val="18"/>
              </w:rPr>
            </w:pPr>
            <w:r w:rsidRPr="00B0584B">
              <w:rPr>
                <w:sz w:val="18"/>
                <w:szCs w:val="18"/>
              </w:rPr>
              <w:tab/>
            </w:r>
          </w:p>
          <w:p w:rsidR="00A35824" w:rsidRPr="00E3298E" w:rsidRDefault="00A35824" w:rsidP="00FC27A6">
            <w:pPr>
              <w:pStyle w:val="ListBullet"/>
              <w:numPr>
                <w:ilvl w:val="0"/>
                <w:numId w:val="0"/>
              </w:numPr>
              <w:spacing w:after="0"/>
              <w:ind w:left="153" w:right="312"/>
              <w:contextualSpacing w:val="0"/>
              <w:jc w:val="both"/>
              <w:rPr>
                <w:sz w:val="20"/>
              </w:rPr>
            </w:pPr>
            <w:r w:rsidRPr="00E3298E">
              <w:rPr>
                <w:sz w:val="20"/>
              </w:rPr>
              <w:t>This method allows the dollar cost of one initiative to be compared to the cost of other initiatives if a common unit of outcome exists.</w:t>
            </w:r>
          </w:p>
          <w:p w:rsidR="00A35824" w:rsidRPr="00E3298E" w:rsidRDefault="00A35824" w:rsidP="00FC27A6">
            <w:pPr>
              <w:pStyle w:val="ListBullet"/>
              <w:numPr>
                <w:ilvl w:val="0"/>
                <w:numId w:val="0"/>
              </w:numPr>
              <w:spacing w:after="0"/>
              <w:ind w:left="153" w:right="312"/>
              <w:contextualSpacing w:val="0"/>
              <w:jc w:val="both"/>
              <w:rPr>
                <w:sz w:val="20"/>
              </w:rPr>
            </w:pPr>
          </w:p>
          <w:p w:rsidR="00A35824" w:rsidRPr="00E3298E" w:rsidRDefault="00A35824" w:rsidP="00FC27A6">
            <w:pPr>
              <w:pStyle w:val="ListBullet"/>
              <w:numPr>
                <w:ilvl w:val="0"/>
                <w:numId w:val="0"/>
              </w:numPr>
              <w:spacing w:after="0"/>
              <w:ind w:left="153" w:right="312"/>
              <w:contextualSpacing w:val="0"/>
              <w:jc w:val="both"/>
              <w:rPr>
                <w:sz w:val="20"/>
              </w:rPr>
            </w:pPr>
            <w:r w:rsidRPr="00E3298E">
              <w:rPr>
                <w:sz w:val="20"/>
              </w:rPr>
              <w:t>Cost-effectiveness analysis is useful in situations where initiatives have shared objectives.</w:t>
            </w:r>
          </w:p>
          <w:p w:rsidR="00A35824" w:rsidRPr="00E3298E" w:rsidRDefault="00A35824" w:rsidP="00FC27A6">
            <w:pPr>
              <w:pStyle w:val="ListBullet"/>
              <w:numPr>
                <w:ilvl w:val="0"/>
                <w:numId w:val="0"/>
              </w:numPr>
              <w:spacing w:after="0"/>
              <w:ind w:left="153" w:right="312"/>
              <w:contextualSpacing w:val="0"/>
              <w:jc w:val="both"/>
              <w:rPr>
                <w:sz w:val="20"/>
              </w:rPr>
            </w:pPr>
          </w:p>
          <w:p w:rsidR="00A35824" w:rsidRDefault="00A35824" w:rsidP="00FC27A6">
            <w:pPr>
              <w:pStyle w:val="ListBullet"/>
              <w:numPr>
                <w:ilvl w:val="0"/>
                <w:numId w:val="0"/>
              </w:numPr>
              <w:spacing w:after="0"/>
              <w:ind w:left="153" w:right="312"/>
              <w:contextualSpacing w:val="0"/>
              <w:jc w:val="both"/>
              <w:rPr>
                <w:sz w:val="18"/>
                <w:szCs w:val="18"/>
              </w:rPr>
            </w:pPr>
            <w:r w:rsidRPr="00E3298E">
              <w:rPr>
                <w:sz w:val="20"/>
              </w:rPr>
              <w:t>The aim is to identify the most cost-effective initiative to achieve a desired outcome</w:t>
            </w:r>
            <w:r>
              <w:rPr>
                <w:sz w:val="18"/>
                <w:szCs w:val="18"/>
              </w:rPr>
              <w:t>.</w:t>
            </w:r>
          </w:p>
          <w:p w:rsidR="00A35824" w:rsidRDefault="00A35824" w:rsidP="00FC27A6">
            <w:pPr>
              <w:pStyle w:val="ListBullet"/>
              <w:numPr>
                <w:ilvl w:val="0"/>
                <w:numId w:val="0"/>
              </w:numPr>
              <w:spacing w:after="0"/>
              <w:ind w:left="153" w:right="312"/>
              <w:contextualSpacing w:val="0"/>
              <w:jc w:val="both"/>
              <w:rPr>
                <w:sz w:val="18"/>
                <w:szCs w:val="18"/>
              </w:rPr>
            </w:pPr>
          </w:p>
          <w:p w:rsidR="00A35824" w:rsidRPr="00B0584B" w:rsidRDefault="00A35824" w:rsidP="00FC27A6">
            <w:pPr>
              <w:pStyle w:val="ListBullet"/>
              <w:numPr>
                <w:ilvl w:val="0"/>
                <w:numId w:val="0"/>
              </w:numPr>
              <w:spacing w:after="0"/>
              <w:ind w:left="153" w:right="312"/>
              <w:contextualSpacing w:val="0"/>
              <w:jc w:val="center"/>
              <w:rPr>
                <w:sz w:val="18"/>
                <w:szCs w:val="18"/>
              </w:rPr>
            </w:pPr>
          </w:p>
          <w:p w:rsidR="00A35824" w:rsidRPr="00B0584B" w:rsidRDefault="00A35824" w:rsidP="00A35824">
            <w:pPr>
              <w:pStyle w:val="ListBullet"/>
              <w:numPr>
                <w:ilvl w:val="0"/>
                <w:numId w:val="0"/>
              </w:numPr>
              <w:spacing w:after="0"/>
              <w:ind w:left="153" w:right="312"/>
              <w:contextualSpacing w:val="0"/>
              <w:jc w:val="center"/>
              <w:rPr>
                <w:noProof/>
                <w:sz w:val="18"/>
                <w:szCs w:val="18"/>
                <w:lang w:eastAsia="zh-CN"/>
              </w:rPr>
            </w:pPr>
          </w:p>
          <w:p w:rsidR="00A35824" w:rsidRPr="00B0584B" w:rsidRDefault="00A35824" w:rsidP="00B97FF5">
            <w:pPr>
              <w:pStyle w:val="ListBullet"/>
              <w:numPr>
                <w:ilvl w:val="0"/>
                <w:numId w:val="0"/>
              </w:numPr>
              <w:spacing w:after="0"/>
              <w:ind w:left="153" w:right="312"/>
              <w:contextualSpacing w:val="0"/>
              <w:jc w:val="both"/>
              <w:rPr>
                <w:noProof/>
                <w:sz w:val="18"/>
                <w:szCs w:val="18"/>
                <w:lang w:eastAsia="zh-CN"/>
              </w:rPr>
            </w:pPr>
          </w:p>
          <w:p w:rsidR="00A35824" w:rsidRPr="00B0584B" w:rsidRDefault="00147E06" w:rsidP="00831630">
            <w:pPr>
              <w:pStyle w:val="ListBullet"/>
              <w:numPr>
                <w:ilvl w:val="0"/>
                <w:numId w:val="0"/>
              </w:numPr>
              <w:spacing w:after="0"/>
              <w:ind w:right="312"/>
              <w:contextualSpacing w:val="0"/>
              <w:jc w:val="center"/>
              <w:rPr>
                <w:noProof/>
                <w:sz w:val="18"/>
                <w:szCs w:val="18"/>
                <w:lang w:eastAsia="zh-CN"/>
              </w:rPr>
            </w:pPr>
            <w:r>
              <w:rPr>
                <w:noProof/>
                <w:sz w:val="18"/>
                <w:szCs w:val="18"/>
                <w:lang w:eastAsia="zh-CN"/>
              </w:rPr>
              <mc:AlternateContent>
                <mc:Choice Requires="wps">
                  <w:drawing>
                    <wp:anchor distT="0" distB="0" distL="114300" distR="114300" simplePos="0" relativeHeight="251664384" behindDoc="0" locked="0" layoutInCell="1" allowOverlap="1" wp14:anchorId="23CBC414" wp14:editId="5B2DE970">
                      <wp:simplePos x="0" y="0"/>
                      <wp:positionH relativeFrom="column">
                        <wp:posOffset>645912</wp:posOffset>
                      </wp:positionH>
                      <wp:positionV relativeFrom="line">
                        <wp:posOffset>-4306</wp:posOffset>
                      </wp:positionV>
                      <wp:extent cx="2870054" cy="2283358"/>
                      <wp:effectExtent l="0" t="0" r="6985" b="3175"/>
                      <wp:wrapNone/>
                      <wp:docPr id="10" name="Text Box 10"/>
                      <wp:cNvGraphicFramePr/>
                      <a:graphic xmlns:a="http://schemas.openxmlformats.org/drawingml/2006/main">
                        <a:graphicData uri="http://schemas.microsoft.com/office/word/2010/wordprocessingShape">
                          <wps:wsp>
                            <wps:cNvSpPr txBox="1"/>
                            <wps:spPr>
                              <a:xfrm>
                                <a:off x="0" y="0"/>
                                <a:ext cx="2870054" cy="22833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E06" w:rsidRPr="00147E06" w:rsidRDefault="00147E06" w:rsidP="00147E06">
                                  <w:pPr>
                                    <w:contextualSpacing/>
                                    <w:rPr>
                                      <w:rFonts w:ascii="Times New Roman" w:eastAsia="Times New Roman" w:hAnsi="Times New Roman"/>
                                      <w:sz w:val="28"/>
                                      <w:szCs w:val="24"/>
                                      <w:lang w:eastAsia="zh-CN"/>
                                    </w:rPr>
                                  </w:pPr>
                                  <w:proofErr w:type="spellStart"/>
                                  <w:proofErr w:type="gramStart"/>
                                  <w:r w:rsidRPr="00147E06">
                                    <w:rPr>
                                      <w:rFonts w:eastAsia="+mn-ea" w:cs="Arial"/>
                                      <w:color w:val="FFFFFF"/>
                                      <w:sz w:val="28"/>
                                      <w:szCs w:val="28"/>
                                      <w:lang w:eastAsia="zh-CN"/>
                                    </w:rPr>
                                    <w:t>ore</w:t>
                                  </w:r>
                                  <w:proofErr w:type="spellEnd"/>
                                  <w:proofErr w:type="gramEnd"/>
                                  <w:r w:rsidRPr="00147E06">
                                    <w:rPr>
                                      <w:rFonts w:eastAsia="+mn-ea" w:cs="Arial"/>
                                      <w:color w:val="FFFFFF"/>
                                      <w:sz w:val="28"/>
                                      <w:szCs w:val="28"/>
                                      <w:lang w:eastAsia="zh-CN"/>
                                    </w:rPr>
                                    <w:t xml:space="preserve"> costly, less </w:t>
                                  </w:r>
                                  <w:proofErr w:type="spellStart"/>
                                  <w:r w:rsidRPr="00147E06">
                                    <w:rPr>
                                      <w:rFonts w:eastAsia="+mn-ea" w:cs="Arial"/>
                                      <w:color w:val="FFFFFF"/>
                                      <w:sz w:val="28"/>
                                      <w:szCs w:val="28"/>
                                      <w:lang w:eastAsia="zh-CN"/>
                                    </w:rPr>
                                    <w:t>im</w:t>
                                  </w:r>
                                  <w:proofErr w:type="spellEnd"/>
                                  <w:r>
                                    <w:rPr>
                                      <w:noProof/>
                                      <w:lang w:eastAsia="zh-CN"/>
                                    </w:rPr>
                                    <w:drawing>
                                      <wp:inline distT="0" distB="0" distL="0" distR="0" wp14:anchorId="346F827C" wp14:editId="34EDA91D">
                                        <wp:extent cx="2637489" cy="1908084"/>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147E06">
                                    <w:rPr>
                                      <w:rFonts w:eastAsia="+mn-ea" w:cs="Arial"/>
                                      <w:color w:val="FFFFFF"/>
                                      <w:sz w:val="28"/>
                                      <w:szCs w:val="28"/>
                                      <w:lang w:eastAsia="zh-CN"/>
                                    </w:rPr>
                                    <w:t>pact</w:t>
                                  </w:r>
                                </w:p>
                                <w:p w:rsidR="00147E06" w:rsidRDefault="00147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50.85pt;margin-top:-.35pt;width:226pt;height:1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" fillcolor="white [3201]" stroked="f" strokeweight=".5pt">
                      <v:textbox>
                        <w:txbxContent>
                          <w:p w:rsidR="00147E06" w:rsidRPr="00147E06" w:rsidRDefault="00147E06" w:rsidP="00147E06">
                            <w:pPr>
                              <w:contextualSpacing/>
                              <w:rPr>
                                <w:rFonts w:ascii="Times New Roman" w:eastAsia="Times New Roman" w:hAnsi="Times New Roman"/>
                                <w:sz w:val="28"/>
                                <w:szCs w:val="24"/>
                                <w:lang w:eastAsia="zh-CN"/>
                              </w:rPr>
                            </w:pPr>
                            <w:proofErr w:type="spellStart"/>
                            <w:proofErr w:type="gramStart"/>
                            <w:r w:rsidRPr="00147E06">
                              <w:rPr>
                                <w:rFonts w:eastAsia="+mn-ea" w:cs="Arial"/>
                                <w:color w:val="FFFFFF"/>
                                <w:sz w:val="28"/>
                                <w:szCs w:val="28"/>
                                <w:lang w:eastAsia="zh-CN"/>
                              </w:rPr>
                              <w:t>ore</w:t>
                            </w:r>
                            <w:proofErr w:type="spellEnd"/>
                            <w:proofErr w:type="gramEnd"/>
                            <w:r w:rsidRPr="00147E06">
                              <w:rPr>
                                <w:rFonts w:eastAsia="+mn-ea" w:cs="Arial"/>
                                <w:color w:val="FFFFFF"/>
                                <w:sz w:val="28"/>
                                <w:szCs w:val="28"/>
                                <w:lang w:eastAsia="zh-CN"/>
                              </w:rPr>
                              <w:t xml:space="preserve"> costly, less </w:t>
                            </w:r>
                            <w:proofErr w:type="spellStart"/>
                            <w:r w:rsidRPr="00147E06">
                              <w:rPr>
                                <w:rFonts w:eastAsia="+mn-ea" w:cs="Arial"/>
                                <w:color w:val="FFFFFF"/>
                                <w:sz w:val="28"/>
                                <w:szCs w:val="28"/>
                                <w:lang w:eastAsia="zh-CN"/>
                              </w:rPr>
                              <w:t>im</w:t>
                            </w:r>
                            <w:proofErr w:type="spellEnd"/>
                            <w:r>
                              <w:rPr>
                                <w:noProof/>
                                <w:lang w:eastAsia="zh-CN"/>
                              </w:rPr>
                              <w:drawing>
                                <wp:inline distT="0" distB="0" distL="0" distR="0" wp14:anchorId="346F827C" wp14:editId="34EDA91D">
                                  <wp:extent cx="2637489" cy="1908084"/>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2" r:qs="rId23" r:cs="rId24"/>
                                    </a:graphicData>
                                  </a:graphic>
                                </wp:inline>
                              </w:drawing>
                            </w:r>
                            <w:r w:rsidRPr="00147E06">
                              <w:rPr>
                                <w:rFonts w:eastAsia="+mn-ea" w:cs="Arial"/>
                                <w:color w:val="FFFFFF"/>
                                <w:sz w:val="28"/>
                                <w:szCs w:val="28"/>
                                <w:lang w:eastAsia="zh-CN"/>
                              </w:rPr>
                              <w:t>pact</w:t>
                            </w:r>
                          </w:p>
                          <w:p w:rsidR="00147E06" w:rsidRDefault="00147E06"/>
                        </w:txbxContent>
                      </v:textbox>
                      <w10:wrap anchory="line"/>
                    </v:shape>
                  </w:pict>
                </mc:Fallback>
              </mc:AlternateContent>
            </w:r>
          </w:p>
        </w:tc>
        <w:tc>
          <w:tcPr>
            <w:tcW w:w="2500" w:type="pct"/>
            <w:tcBorders>
              <w:top w:val="nil"/>
              <w:left w:val="single" w:sz="48" w:space="0" w:color="FFFFFF"/>
              <w:bottom w:val="nil"/>
              <w:right w:val="single" w:sz="48" w:space="0" w:color="FFFFFF"/>
            </w:tcBorders>
            <w:shd w:val="clear" w:color="auto" w:fill="FFFFFF" w:themeFill="background1"/>
          </w:tcPr>
          <w:p w:rsidR="00A35824" w:rsidRPr="00B0584B" w:rsidRDefault="00A35824" w:rsidP="00FC27A6">
            <w:pPr>
              <w:pStyle w:val="BlockText"/>
              <w:spacing w:after="0" w:line="240" w:lineRule="auto"/>
              <w:ind w:left="180" w:right="284"/>
              <w:jc w:val="both"/>
              <w:rPr>
                <w:sz w:val="18"/>
                <w:szCs w:val="18"/>
              </w:rPr>
            </w:pPr>
          </w:p>
          <w:p w:rsidR="00A35824" w:rsidRPr="00E3298E" w:rsidRDefault="00A35824" w:rsidP="00A35824">
            <w:pPr>
              <w:pStyle w:val="ListBullet"/>
              <w:numPr>
                <w:ilvl w:val="0"/>
                <w:numId w:val="0"/>
              </w:numPr>
              <w:spacing w:after="0"/>
              <w:ind w:left="153" w:right="312"/>
              <w:contextualSpacing w:val="0"/>
              <w:jc w:val="both"/>
              <w:rPr>
                <w:sz w:val="20"/>
              </w:rPr>
            </w:pPr>
            <w:r w:rsidRPr="00E3298E">
              <w:rPr>
                <w:sz w:val="20"/>
              </w:rPr>
              <w:t xml:space="preserve">This method compares the financial, economic, environmental and social benefits and costs of an initiative. </w:t>
            </w:r>
          </w:p>
          <w:p w:rsidR="00A35824" w:rsidRPr="00E3298E" w:rsidRDefault="00A35824" w:rsidP="00A35824">
            <w:pPr>
              <w:pStyle w:val="ListBullet"/>
              <w:numPr>
                <w:ilvl w:val="0"/>
                <w:numId w:val="0"/>
              </w:numPr>
              <w:spacing w:after="0"/>
              <w:ind w:left="153" w:right="312"/>
              <w:contextualSpacing w:val="0"/>
              <w:jc w:val="both"/>
              <w:rPr>
                <w:sz w:val="20"/>
              </w:rPr>
            </w:pPr>
          </w:p>
          <w:p w:rsidR="00A35824" w:rsidRPr="00E3298E" w:rsidRDefault="00A35824" w:rsidP="00A35824">
            <w:pPr>
              <w:pStyle w:val="ListBullet"/>
              <w:numPr>
                <w:ilvl w:val="0"/>
                <w:numId w:val="0"/>
              </w:numPr>
              <w:spacing w:after="0"/>
              <w:ind w:left="153" w:right="312"/>
              <w:contextualSpacing w:val="0"/>
              <w:jc w:val="both"/>
              <w:rPr>
                <w:sz w:val="20"/>
              </w:rPr>
            </w:pPr>
            <w:r w:rsidRPr="00E3298E">
              <w:rPr>
                <w:sz w:val="20"/>
              </w:rPr>
              <w:t xml:space="preserve">Initiatives are compared with a scenario based on what may have happened if it was not </w:t>
            </w:r>
            <w:r w:rsidR="00E06488" w:rsidRPr="00E3298E">
              <w:rPr>
                <w:sz w:val="20"/>
              </w:rPr>
              <w:t>implemented</w:t>
            </w:r>
            <w:r w:rsidRPr="00E3298E">
              <w:rPr>
                <w:sz w:val="20"/>
              </w:rPr>
              <w:t xml:space="preserve">. </w:t>
            </w:r>
          </w:p>
          <w:p w:rsidR="00A35824" w:rsidRPr="00E3298E" w:rsidRDefault="00A35824" w:rsidP="00A35824">
            <w:pPr>
              <w:pStyle w:val="ListBullet"/>
              <w:numPr>
                <w:ilvl w:val="0"/>
                <w:numId w:val="0"/>
              </w:numPr>
              <w:spacing w:after="0"/>
              <w:ind w:left="153" w:right="312"/>
              <w:contextualSpacing w:val="0"/>
              <w:jc w:val="both"/>
              <w:rPr>
                <w:sz w:val="20"/>
              </w:rPr>
            </w:pPr>
          </w:p>
          <w:p w:rsidR="00A35824" w:rsidRDefault="00A35824" w:rsidP="00A35824">
            <w:pPr>
              <w:pStyle w:val="ListBullet"/>
              <w:numPr>
                <w:ilvl w:val="0"/>
                <w:numId w:val="0"/>
              </w:numPr>
              <w:spacing w:after="0"/>
              <w:ind w:left="153" w:right="312"/>
              <w:contextualSpacing w:val="0"/>
              <w:jc w:val="both"/>
              <w:rPr>
                <w:sz w:val="20"/>
              </w:rPr>
            </w:pPr>
            <w:r w:rsidRPr="00E3298E">
              <w:rPr>
                <w:sz w:val="20"/>
              </w:rPr>
              <w:t>Monetary estimates of both benefits and costs are required.</w:t>
            </w:r>
          </w:p>
          <w:p w:rsidR="00A73608" w:rsidRDefault="00A73608" w:rsidP="00A35824">
            <w:pPr>
              <w:pStyle w:val="ListBullet"/>
              <w:numPr>
                <w:ilvl w:val="0"/>
                <w:numId w:val="0"/>
              </w:numPr>
              <w:spacing w:after="0"/>
              <w:ind w:left="153" w:right="312"/>
              <w:contextualSpacing w:val="0"/>
              <w:jc w:val="both"/>
              <w:rPr>
                <w:sz w:val="20"/>
              </w:rPr>
            </w:pPr>
          </w:p>
          <w:p w:rsidR="00A73608" w:rsidRDefault="00A73608" w:rsidP="00A35824">
            <w:pPr>
              <w:pStyle w:val="ListBullet"/>
              <w:numPr>
                <w:ilvl w:val="0"/>
                <w:numId w:val="0"/>
              </w:numPr>
              <w:spacing w:after="0"/>
              <w:ind w:left="153" w:right="312"/>
              <w:contextualSpacing w:val="0"/>
              <w:jc w:val="both"/>
              <w:rPr>
                <w:sz w:val="20"/>
              </w:rPr>
            </w:pPr>
          </w:p>
          <w:p w:rsidR="00A73608" w:rsidRDefault="00A73608" w:rsidP="00A35824">
            <w:pPr>
              <w:pStyle w:val="ListBullet"/>
              <w:numPr>
                <w:ilvl w:val="0"/>
                <w:numId w:val="0"/>
              </w:numPr>
              <w:spacing w:after="0"/>
              <w:ind w:left="153" w:right="312"/>
              <w:contextualSpacing w:val="0"/>
              <w:jc w:val="both"/>
              <w:rPr>
                <w:sz w:val="20"/>
              </w:rPr>
            </w:pPr>
          </w:p>
          <w:p w:rsidR="00A73608" w:rsidRDefault="00A73608" w:rsidP="00A35824">
            <w:pPr>
              <w:pStyle w:val="ListBullet"/>
              <w:numPr>
                <w:ilvl w:val="0"/>
                <w:numId w:val="0"/>
              </w:numPr>
              <w:spacing w:after="0"/>
              <w:ind w:left="153" w:right="312"/>
              <w:contextualSpacing w:val="0"/>
              <w:jc w:val="both"/>
              <w:rPr>
                <w:sz w:val="20"/>
              </w:rPr>
            </w:pPr>
          </w:p>
          <w:p w:rsidR="00A73608" w:rsidRDefault="00A73608" w:rsidP="00A35824">
            <w:pPr>
              <w:pStyle w:val="ListBullet"/>
              <w:numPr>
                <w:ilvl w:val="0"/>
                <w:numId w:val="0"/>
              </w:numPr>
              <w:spacing w:after="0"/>
              <w:ind w:left="153" w:right="312"/>
              <w:contextualSpacing w:val="0"/>
              <w:jc w:val="both"/>
              <w:rPr>
                <w:sz w:val="20"/>
              </w:rPr>
            </w:pPr>
          </w:p>
          <w:p w:rsidR="00A73608" w:rsidRPr="00E3298E" w:rsidRDefault="00A73608" w:rsidP="00A35824">
            <w:pPr>
              <w:pStyle w:val="ListBullet"/>
              <w:numPr>
                <w:ilvl w:val="0"/>
                <w:numId w:val="0"/>
              </w:numPr>
              <w:spacing w:after="0"/>
              <w:ind w:left="153" w:right="312"/>
              <w:contextualSpacing w:val="0"/>
              <w:jc w:val="both"/>
              <w:rPr>
                <w:sz w:val="20"/>
              </w:rPr>
            </w:pPr>
          </w:p>
          <w:p w:rsidR="00A35824" w:rsidRPr="00B0584B" w:rsidRDefault="00A35824" w:rsidP="00FC27A6">
            <w:pPr>
              <w:pStyle w:val="BlockText"/>
              <w:spacing w:after="0" w:line="240" w:lineRule="auto"/>
              <w:ind w:left="180" w:right="284"/>
              <w:jc w:val="both"/>
              <w:rPr>
                <w:sz w:val="18"/>
                <w:szCs w:val="18"/>
              </w:rPr>
            </w:pPr>
          </w:p>
          <w:p w:rsidR="00A35824" w:rsidRPr="00B0584B" w:rsidRDefault="00A35824" w:rsidP="00A35824">
            <w:pPr>
              <w:pStyle w:val="BlockText"/>
              <w:spacing w:after="0" w:line="240" w:lineRule="auto"/>
              <w:ind w:right="284"/>
              <w:jc w:val="center"/>
              <w:rPr>
                <w:noProof/>
                <w:sz w:val="18"/>
                <w:szCs w:val="18"/>
                <w:lang w:eastAsia="zh-CN"/>
              </w:rPr>
            </w:pPr>
            <w:r>
              <w:rPr>
                <w:noProof/>
                <w:sz w:val="18"/>
                <w:szCs w:val="18"/>
                <w:lang w:eastAsia="zh-CN"/>
              </w:rPr>
              <w:drawing>
                <wp:inline distT="0" distB="0" distL="0" distR="0" wp14:anchorId="0B61540B" wp14:editId="2FE1E21E">
                  <wp:extent cx="1778322"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9060" cy="1804148"/>
                          </a:xfrm>
                          <a:prstGeom prst="rect">
                            <a:avLst/>
                          </a:prstGeom>
                          <a:noFill/>
                          <a:ln>
                            <a:noFill/>
                          </a:ln>
                        </pic:spPr>
                      </pic:pic>
                    </a:graphicData>
                  </a:graphic>
                </wp:inline>
              </w:drawing>
            </w:r>
          </w:p>
        </w:tc>
      </w:tr>
    </w:tbl>
    <w:p w:rsidR="00F96336" w:rsidRPr="009849BE" w:rsidRDefault="00F96336" w:rsidP="009849BE">
      <w:pPr>
        <w:pStyle w:val="Heading2"/>
        <w:spacing w:before="0" w:after="0" w:line="240" w:lineRule="auto"/>
        <w:jc w:val="both"/>
        <w:rPr>
          <w:rStyle w:val="Hyperlink"/>
          <w:sz w:val="6"/>
        </w:rPr>
      </w:pPr>
    </w:p>
    <w:sectPr w:rsidR="00F96336" w:rsidRPr="009849BE" w:rsidSect="00B479C0">
      <w:headerReference w:type="first" r:id="rId28"/>
      <w:type w:val="continuous"/>
      <w:pgSz w:w="16838" w:h="11906" w:orient="landscape" w:code="9"/>
      <w:pgMar w:top="1843" w:right="1440" w:bottom="1134" w:left="1440" w:header="709"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5C" w:rsidRDefault="00C7495C">
      <w:r>
        <w:separator/>
      </w:r>
    </w:p>
  </w:endnote>
  <w:endnote w:type="continuationSeparator" w:id="0">
    <w:p w:rsidR="00C7495C" w:rsidRDefault="00C7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AF" w:rsidRDefault="00AE0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B" w:rsidRDefault="00D054A3">
    <w:pPr>
      <w:pStyle w:val="Footer"/>
    </w:pPr>
    <w:r>
      <w:rPr>
        <w:noProof/>
        <w:lang w:eastAsia="zh-CN"/>
      </w:rPr>
      <w:drawing>
        <wp:anchor distT="0" distB="0" distL="114300" distR="114300" simplePos="0" relativeHeight="251655168" behindDoc="1" locked="0" layoutInCell="1" allowOverlap="1" wp14:anchorId="5ADF04EB" wp14:editId="38CC92B3">
          <wp:simplePos x="0" y="0"/>
          <wp:positionH relativeFrom="column">
            <wp:posOffset>-914400</wp:posOffset>
          </wp:positionH>
          <wp:positionV relativeFrom="paragraph">
            <wp:posOffset>-659765</wp:posOffset>
          </wp:positionV>
          <wp:extent cx="10696575" cy="1114425"/>
          <wp:effectExtent l="0" t="0" r="9525" b="9525"/>
          <wp:wrapNone/>
          <wp:docPr id="13" name="Picture 13"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1114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8E" w:rsidRDefault="00D054A3" w:rsidP="00D15714">
    <w:pPr>
      <w:pStyle w:val="Footer"/>
      <w:ind w:left="-567"/>
      <w:rPr>
        <w:sz w:val="20"/>
      </w:rPr>
    </w:pPr>
    <w:r>
      <w:rPr>
        <w:i/>
        <w:noProof/>
        <w:lang w:eastAsia="zh-CN"/>
      </w:rPr>
      <w:drawing>
        <wp:anchor distT="0" distB="0" distL="114300" distR="114300" simplePos="0" relativeHeight="251654144" behindDoc="1" locked="0" layoutInCell="1" allowOverlap="1" wp14:anchorId="5F686A27" wp14:editId="43BD3834">
          <wp:simplePos x="0" y="0"/>
          <wp:positionH relativeFrom="column">
            <wp:posOffset>-933450</wp:posOffset>
          </wp:positionH>
          <wp:positionV relativeFrom="paragraph">
            <wp:posOffset>-504190</wp:posOffset>
          </wp:positionV>
          <wp:extent cx="10692130" cy="1116330"/>
          <wp:effectExtent l="0" t="0" r="0" b="7620"/>
          <wp:wrapNone/>
          <wp:docPr id="15" name="Picture 15"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16330"/>
                  </a:xfrm>
                  <a:prstGeom prst="rect">
                    <a:avLst/>
                  </a:prstGeom>
                  <a:noFill/>
                </pic:spPr>
              </pic:pic>
            </a:graphicData>
          </a:graphic>
          <wp14:sizeRelH relativeFrom="page">
            <wp14:pctWidth>0</wp14:pctWidth>
          </wp14:sizeRelH>
          <wp14:sizeRelV relativeFrom="page">
            <wp14:pctHeight>0</wp14:pctHeight>
          </wp14:sizeRelV>
        </wp:anchor>
      </w:drawing>
    </w:r>
    <w:r w:rsidR="00AE00AF">
      <w:rPr>
        <w:i/>
        <w:noProof/>
        <w:sz w:val="20"/>
        <w:lang w:eastAsia="zh-CN"/>
      </w:rPr>
      <w:t>Understanding the i</w:t>
    </w:r>
    <w:bookmarkStart w:id="0" w:name="_GoBack"/>
    <w:bookmarkEnd w:id="0"/>
    <w:r w:rsidR="00750DC3" w:rsidRPr="00720A7C">
      <w:rPr>
        <w:i/>
        <w:noProof/>
        <w:sz w:val="20"/>
        <w:lang w:eastAsia="zh-CN"/>
      </w:rPr>
      <w:t>nvestment dimension</w:t>
    </w:r>
    <w:r w:rsidR="000E538E" w:rsidRPr="000E538E">
      <w:rPr>
        <w:i/>
        <w:sz w:val="20"/>
      </w:rPr>
      <w:t xml:space="preserve"> </w:t>
    </w:r>
    <w:r w:rsidR="000E538E">
      <w:rPr>
        <w:sz w:val="20"/>
      </w:rPr>
      <w:t xml:space="preserve">is </w:t>
    </w:r>
    <w:r w:rsidR="004200AA">
      <w:rPr>
        <w:sz w:val="20"/>
      </w:rPr>
      <w:t>one</w:t>
    </w:r>
    <w:r w:rsidR="000E538E">
      <w:rPr>
        <w:sz w:val="20"/>
      </w:rPr>
      <w:t xml:space="preserve"> a series of </w:t>
    </w:r>
    <w:r w:rsidR="009767C2">
      <w:rPr>
        <w:sz w:val="20"/>
      </w:rPr>
      <w:t xml:space="preserve">four </w:t>
    </w:r>
    <w:r w:rsidR="000E538E">
      <w:rPr>
        <w:sz w:val="20"/>
      </w:rPr>
      <w:t xml:space="preserve">papers to support </w:t>
    </w:r>
    <w:r w:rsidR="009767C2">
      <w:rPr>
        <w:sz w:val="20"/>
      </w:rPr>
      <w:t xml:space="preserve">the </w:t>
    </w:r>
    <w:r w:rsidR="000E538E">
      <w:rPr>
        <w:sz w:val="20"/>
      </w:rPr>
      <w:t xml:space="preserve">use of the </w:t>
    </w:r>
    <w:r w:rsidR="004200AA">
      <w:rPr>
        <w:sz w:val="20"/>
      </w:rPr>
      <w:t xml:space="preserve">DET </w:t>
    </w:r>
    <w:r w:rsidR="000E538E">
      <w:rPr>
        <w:sz w:val="20"/>
      </w:rPr>
      <w:t>Standards of Evidence.</w:t>
    </w:r>
  </w:p>
  <w:p w:rsidR="000D72D4" w:rsidRPr="000E538E" w:rsidRDefault="000D72D4" w:rsidP="00D15714">
    <w:pPr>
      <w:pStyle w:val="Footer"/>
      <w:ind w:lef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C9" w:rsidRDefault="00CC1197">
    <w:pPr>
      <w:pStyle w:val="Footer"/>
    </w:pPr>
    <w:r>
      <w:rPr>
        <w:noProof/>
        <w:lang w:eastAsia="zh-CN"/>
      </w:rPr>
      <w:drawing>
        <wp:anchor distT="0" distB="0" distL="114300" distR="114300" simplePos="0" relativeHeight="251660288" behindDoc="1" locked="0" layoutInCell="1" allowOverlap="1" wp14:anchorId="57F35ABE" wp14:editId="2DED016B">
          <wp:simplePos x="0" y="0"/>
          <wp:positionH relativeFrom="column">
            <wp:posOffset>-762000</wp:posOffset>
          </wp:positionH>
          <wp:positionV relativeFrom="paragraph">
            <wp:posOffset>-577703</wp:posOffset>
          </wp:positionV>
          <wp:extent cx="10696575" cy="1114425"/>
          <wp:effectExtent l="0" t="0" r="9525" b="9525"/>
          <wp:wrapNone/>
          <wp:docPr id="8" name="Picture 8" descr="eval template-A4-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val template-A4-landscap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575" cy="1114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5C" w:rsidRDefault="00C7495C">
      <w:r>
        <w:separator/>
      </w:r>
    </w:p>
  </w:footnote>
  <w:footnote w:type="continuationSeparator" w:id="0">
    <w:p w:rsidR="00C7495C" w:rsidRDefault="00C7495C">
      <w:r>
        <w:continuationSeparator/>
      </w:r>
    </w:p>
  </w:footnote>
  <w:footnote w:id="1">
    <w:p w:rsidR="003F74AE" w:rsidRPr="00720A7C" w:rsidRDefault="003F74AE">
      <w:pPr>
        <w:pStyle w:val="FootnoteText"/>
        <w:rPr>
          <w:sz w:val="12"/>
          <w:szCs w:val="12"/>
        </w:rPr>
      </w:pPr>
      <w:r w:rsidRPr="00720A7C">
        <w:rPr>
          <w:rStyle w:val="FootnoteReference"/>
          <w:sz w:val="12"/>
          <w:szCs w:val="12"/>
        </w:rPr>
        <w:footnoteRef/>
      </w:r>
      <w:r w:rsidRPr="00720A7C">
        <w:rPr>
          <w:sz w:val="12"/>
          <w:szCs w:val="12"/>
        </w:rPr>
        <w:t xml:space="preserve"> </w:t>
      </w:r>
      <w:r w:rsidR="00075229">
        <w:rPr>
          <w:sz w:val="12"/>
          <w:szCs w:val="12"/>
        </w:rPr>
        <w:t>Deloitte Access Economics (2012) ‘Evaluation of S</w:t>
      </w:r>
      <w:r w:rsidR="00EA5A1A">
        <w:rPr>
          <w:sz w:val="12"/>
          <w:szCs w:val="12"/>
        </w:rPr>
        <w:t>killing Queenslanders for Work’. Retrieved from</w:t>
      </w:r>
      <w:r w:rsidR="00075229">
        <w:rPr>
          <w:sz w:val="12"/>
          <w:szCs w:val="12"/>
        </w:rPr>
        <w:t xml:space="preserve">: </w:t>
      </w:r>
      <w:hyperlink r:id="rId1" w:history="1">
        <w:r w:rsidR="007039DB" w:rsidRPr="000255D7">
          <w:rPr>
            <w:rStyle w:val="Hyperlink"/>
            <w:sz w:val="12"/>
            <w:szCs w:val="12"/>
          </w:rPr>
          <w:t>https://det.qld.gov.au/det-publications/reports/Documents/evaluation/evaluation-skilling-queenslanders-work.pdf</w:t>
        </w:r>
      </w:hyperlink>
      <w:r w:rsidR="007039DB">
        <w:rPr>
          <w:sz w:val="12"/>
          <w:szCs w:val="12"/>
        </w:rPr>
        <w:t xml:space="preserve"> </w:t>
      </w:r>
    </w:p>
  </w:footnote>
  <w:footnote w:id="2">
    <w:p w:rsidR="00E53D9D" w:rsidRDefault="0043375F">
      <w:pPr>
        <w:pStyle w:val="FootnoteText"/>
        <w:rPr>
          <w:sz w:val="12"/>
          <w:szCs w:val="12"/>
        </w:rPr>
      </w:pPr>
      <w:r w:rsidRPr="00D15714">
        <w:rPr>
          <w:rStyle w:val="FootnoteReference"/>
          <w:sz w:val="12"/>
          <w:szCs w:val="12"/>
        </w:rPr>
        <w:footnoteRef/>
      </w:r>
      <w:r>
        <w:t xml:space="preserve"> </w:t>
      </w:r>
      <w:r w:rsidR="00075229" w:rsidRPr="00075229">
        <w:rPr>
          <w:sz w:val="12"/>
          <w:szCs w:val="12"/>
        </w:rPr>
        <w:t>Yeh, S. (2010) ‘The Cost Effectiveness of 22 Approaches for Raising Student Achievement</w:t>
      </w:r>
      <w:r w:rsidR="00E53D9D">
        <w:rPr>
          <w:sz w:val="12"/>
          <w:szCs w:val="12"/>
        </w:rPr>
        <w:t>’</w:t>
      </w:r>
      <w:r w:rsidR="00D10315">
        <w:rPr>
          <w:sz w:val="12"/>
          <w:szCs w:val="12"/>
        </w:rPr>
        <w:t>. Retrieved from</w:t>
      </w:r>
      <w:r w:rsidR="00075229" w:rsidRPr="00075229">
        <w:rPr>
          <w:sz w:val="12"/>
          <w:szCs w:val="12"/>
        </w:rPr>
        <w:t xml:space="preserve"> </w:t>
      </w:r>
    </w:p>
    <w:p w:rsidR="0043375F" w:rsidRPr="00720A7C" w:rsidRDefault="0043375F">
      <w:pPr>
        <w:pStyle w:val="FootnoteText"/>
        <w:rPr>
          <w:sz w:val="12"/>
          <w:szCs w:val="12"/>
        </w:rPr>
      </w:pPr>
      <w:r w:rsidRPr="00075229">
        <w:rPr>
          <w:sz w:val="12"/>
          <w:szCs w:val="12"/>
        </w:rPr>
        <w:t xml:space="preserve"> </w:t>
      </w:r>
      <w:hyperlink r:id="rId2" w:history="1">
        <w:r w:rsidRPr="00075229">
          <w:rPr>
            <w:rStyle w:val="Hyperlink"/>
            <w:sz w:val="12"/>
            <w:szCs w:val="12"/>
          </w:rPr>
          <w:t>https://works.bepress.com/stuart_yeh/2/</w:t>
        </w:r>
      </w:hyperlink>
      <w:r>
        <w:rPr>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AF" w:rsidRDefault="00AE0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24" w:rsidRDefault="00A35824">
    <w:pPr>
      <w:pStyle w:val="Header"/>
    </w:pPr>
    <w:r>
      <w:rPr>
        <w:noProof/>
        <w:lang w:eastAsia="zh-CN"/>
      </w:rPr>
      <w:drawing>
        <wp:anchor distT="0" distB="0" distL="114300" distR="114300" simplePos="0" relativeHeight="251659264" behindDoc="1" locked="0" layoutInCell="1" allowOverlap="1" wp14:anchorId="3100FEEC" wp14:editId="0E407BEE">
          <wp:simplePos x="0" y="0"/>
          <wp:positionH relativeFrom="column">
            <wp:posOffset>-1012825</wp:posOffset>
          </wp:positionH>
          <wp:positionV relativeFrom="paragraph">
            <wp:posOffset>-405765</wp:posOffset>
          </wp:positionV>
          <wp:extent cx="10692130" cy="1150620"/>
          <wp:effectExtent l="0" t="0" r="0" b="0"/>
          <wp:wrapNone/>
          <wp:docPr id="20" name="Picture 20"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15" w:rsidRDefault="00D15714" w:rsidP="0030460D">
    <w:pPr>
      <w:pStyle w:val="Header"/>
      <w:tabs>
        <w:tab w:val="left" w:pos="3180"/>
      </w:tabs>
    </w:pPr>
    <w:r>
      <w:rPr>
        <w:noProof/>
        <w:lang w:eastAsia="zh-CN"/>
      </w:rPr>
      <w:drawing>
        <wp:anchor distT="0" distB="0" distL="114300" distR="114300" simplePos="0" relativeHeight="251656192" behindDoc="1" locked="0" layoutInCell="1" allowOverlap="1" wp14:anchorId="1B24A303" wp14:editId="678E7697">
          <wp:simplePos x="0" y="0"/>
          <wp:positionH relativeFrom="column">
            <wp:posOffset>-799465</wp:posOffset>
          </wp:positionH>
          <wp:positionV relativeFrom="paragraph">
            <wp:posOffset>-558165</wp:posOffset>
          </wp:positionV>
          <wp:extent cx="10692130" cy="1150620"/>
          <wp:effectExtent l="0" t="0" r="0" b="0"/>
          <wp:wrapNone/>
          <wp:docPr id="5" name="Picture 5"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60D">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14" w:rsidRDefault="00D15714" w:rsidP="0030460D">
    <w:pPr>
      <w:pStyle w:val="Header"/>
      <w:tabs>
        <w:tab w:val="left" w:pos="3180"/>
      </w:tabs>
    </w:pPr>
    <w:r>
      <w:rPr>
        <w:noProof/>
        <w:lang w:eastAsia="zh-CN"/>
      </w:rPr>
      <w:drawing>
        <wp:anchor distT="0" distB="0" distL="114300" distR="114300" simplePos="0" relativeHeight="251657216" behindDoc="1" locked="0" layoutInCell="1" allowOverlap="1" wp14:anchorId="4D21FB28" wp14:editId="2BAD0653">
          <wp:simplePos x="0" y="0"/>
          <wp:positionH relativeFrom="column">
            <wp:posOffset>-571500</wp:posOffset>
          </wp:positionH>
          <wp:positionV relativeFrom="paragraph">
            <wp:posOffset>-513715</wp:posOffset>
          </wp:positionV>
          <wp:extent cx="10692130" cy="1150620"/>
          <wp:effectExtent l="0" t="0" r="0" b="0"/>
          <wp:wrapNone/>
          <wp:docPr id="7" name="Picture 7"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763984033"/>
        <w:docPartObj>
          <w:docPartGallery w:val="Watermarks"/>
          <w:docPartUnique/>
        </w:docPartObj>
      </w:sdtPr>
      <w:sdtEndPr/>
      <w:sdtContent>
        <w:r w:rsidR="00AE00A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2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14" w:rsidRDefault="00D15714" w:rsidP="0030460D">
    <w:pPr>
      <w:pStyle w:val="Header"/>
      <w:tabs>
        <w:tab w:val="left" w:pos="3180"/>
      </w:tabs>
    </w:pPr>
    <w:r>
      <w:rPr>
        <w:noProof/>
        <w:lang w:eastAsia="zh-CN"/>
      </w:rPr>
      <w:drawing>
        <wp:anchor distT="0" distB="0" distL="114300" distR="114300" simplePos="0" relativeHeight="251658240" behindDoc="1" locked="0" layoutInCell="1" allowOverlap="1" wp14:anchorId="6F57C659" wp14:editId="15613900">
          <wp:simplePos x="0" y="0"/>
          <wp:positionH relativeFrom="column">
            <wp:posOffset>-958850</wp:posOffset>
          </wp:positionH>
          <wp:positionV relativeFrom="paragraph">
            <wp:posOffset>-481965</wp:posOffset>
          </wp:positionV>
          <wp:extent cx="10692130" cy="1150620"/>
          <wp:effectExtent l="0" t="0" r="0" b="0"/>
          <wp:wrapNone/>
          <wp:docPr id="9" name="Picture 9" descr="eval template-A4-landscape-header-no-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l template-A4-landscape-header-no-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4DEB580"/>
    <w:lvl w:ilvl="0">
      <w:start w:val="1"/>
      <w:numFmt w:val="bullet"/>
      <w:pStyle w:val="ListBullet3"/>
      <w:lvlText w:val="−"/>
      <w:lvlJc w:val="left"/>
      <w:pPr>
        <w:ind w:left="926" w:hanging="360"/>
      </w:pPr>
      <w:rPr>
        <w:rFonts w:ascii="Calibri" w:hAnsi="Calibri" w:hint="default"/>
      </w:rPr>
    </w:lvl>
  </w:abstractNum>
  <w:abstractNum w:abstractNumId="1">
    <w:nsid w:val="FFFFFF83"/>
    <w:multiLevelType w:val="singleLevel"/>
    <w:tmpl w:val="6890D124"/>
    <w:lvl w:ilvl="0">
      <w:start w:val="1"/>
      <w:numFmt w:val="bullet"/>
      <w:pStyle w:val="ListBullet2"/>
      <w:lvlText w:val="o"/>
      <w:lvlJc w:val="left"/>
      <w:pPr>
        <w:ind w:left="644" w:hanging="360"/>
      </w:pPr>
      <w:rPr>
        <w:rFonts w:ascii="Courier New" w:hAnsi="Courier New" w:cs="Courier New" w:hint="default"/>
      </w:rPr>
    </w:lvl>
  </w:abstractNum>
  <w:abstractNum w:abstractNumId="2">
    <w:nsid w:val="FFFFFF89"/>
    <w:multiLevelType w:val="singleLevel"/>
    <w:tmpl w:val="C88AF86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832BC8"/>
    <w:multiLevelType w:val="hybridMultilevel"/>
    <w:tmpl w:val="96EA233E"/>
    <w:lvl w:ilvl="0" w:tplc="5EAAFE7E">
      <w:start w:val="1"/>
      <w:numFmt w:val="bullet"/>
      <w:lvlText w:val="•"/>
      <w:lvlJc w:val="left"/>
      <w:pPr>
        <w:tabs>
          <w:tab w:val="num" w:pos="720"/>
        </w:tabs>
        <w:ind w:left="720" w:hanging="360"/>
      </w:pPr>
      <w:rPr>
        <w:rFonts w:ascii="Times New Roman" w:hAnsi="Times New Roman" w:hint="default"/>
      </w:rPr>
    </w:lvl>
    <w:lvl w:ilvl="1" w:tplc="AC84D580" w:tentative="1">
      <w:start w:val="1"/>
      <w:numFmt w:val="bullet"/>
      <w:lvlText w:val="•"/>
      <w:lvlJc w:val="left"/>
      <w:pPr>
        <w:tabs>
          <w:tab w:val="num" w:pos="1440"/>
        </w:tabs>
        <w:ind w:left="1440" w:hanging="360"/>
      </w:pPr>
      <w:rPr>
        <w:rFonts w:ascii="Times New Roman" w:hAnsi="Times New Roman" w:hint="default"/>
      </w:rPr>
    </w:lvl>
    <w:lvl w:ilvl="2" w:tplc="3D6A993E" w:tentative="1">
      <w:start w:val="1"/>
      <w:numFmt w:val="bullet"/>
      <w:lvlText w:val="•"/>
      <w:lvlJc w:val="left"/>
      <w:pPr>
        <w:tabs>
          <w:tab w:val="num" w:pos="2160"/>
        </w:tabs>
        <w:ind w:left="2160" w:hanging="360"/>
      </w:pPr>
      <w:rPr>
        <w:rFonts w:ascii="Times New Roman" w:hAnsi="Times New Roman" w:hint="default"/>
      </w:rPr>
    </w:lvl>
    <w:lvl w:ilvl="3" w:tplc="813200C6" w:tentative="1">
      <w:start w:val="1"/>
      <w:numFmt w:val="bullet"/>
      <w:lvlText w:val="•"/>
      <w:lvlJc w:val="left"/>
      <w:pPr>
        <w:tabs>
          <w:tab w:val="num" w:pos="2880"/>
        </w:tabs>
        <w:ind w:left="2880" w:hanging="360"/>
      </w:pPr>
      <w:rPr>
        <w:rFonts w:ascii="Times New Roman" w:hAnsi="Times New Roman" w:hint="default"/>
      </w:rPr>
    </w:lvl>
    <w:lvl w:ilvl="4" w:tplc="F5322C38" w:tentative="1">
      <w:start w:val="1"/>
      <w:numFmt w:val="bullet"/>
      <w:lvlText w:val="•"/>
      <w:lvlJc w:val="left"/>
      <w:pPr>
        <w:tabs>
          <w:tab w:val="num" w:pos="3600"/>
        </w:tabs>
        <w:ind w:left="3600" w:hanging="360"/>
      </w:pPr>
      <w:rPr>
        <w:rFonts w:ascii="Times New Roman" w:hAnsi="Times New Roman" w:hint="default"/>
      </w:rPr>
    </w:lvl>
    <w:lvl w:ilvl="5" w:tplc="A56E1C0A" w:tentative="1">
      <w:start w:val="1"/>
      <w:numFmt w:val="bullet"/>
      <w:lvlText w:val="•"/>
      <w:lvlJc w:val="left"/>
      <w:pPr>
        <w:tabs>
          <w:tab w:val="num" w:pos="4320"/>
        </w:tabs>
        <w:ind w:left="4320" w:hanging="360"/>
      </w:pPr>
      <w:rPr>
        <w:rFonts w:ascii="Times New Roman" w:hAnsi="Times New Roman" w:hint="default"/>
      </w:rPr>
    </w:lvl>
    <w:lvl w:ilvl="6" w:tplc="02E8D738" w:tentative="1">
      <w:start w:val="1"/>
      <w:numFmt w:val="bullet"/>
      <w:lvlText w:val="•"/>
      <w:lvlJc w:val="left"/>
      <w:pPr>
        <w:tabs>
          <w:tab w:val="num" w:pos="5040"/>
        </w:tabs>
        <w:ind w:left="5040" w:hanging="360"/>
      </w:pPr>
      <w:rPr>
        <w:rFonts w:ascii="Times New Roman" w:hAnsi="Times New Roman" w:hint="default"/>
      </w:rPr>
    </w:lvl>
    <w:lvl w:ilvl="7" w:tplc="02663C80" w:tentative="1">
      <w:start w:val="1"/>
      <w:numFmt w:val="bullet"/>
      <w:lvlText w:val="•"/>
      <w:lvlJc w:val="left"/>
      <w:pPr>
        <w:tabs>
          <w:tab w:val="num" w:pos="5760"/>
        </w:tabs>
        <w:ind w:left="5760" w:hanging="360"/>
      </w:pPr>
      <w:rPr>
        <w:rFonts w:ascii="Times New Roman" w:hAnsi="Times New Roman" w:hint="default"/>
      </w:rPr>
    </w:lvl>
    <w:lvl w:ilvl="8" w:tplc="7F80DC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881F33"/>
    <w:multiLevelType w:val="hybridMultilevel"/>
    <w:tmpl w:val="5608D6E6"/>
    <w:lvl w:ilvl="0" w:tplc="E37E13E4">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2F1659"/>
    <w:multiLevelType w:val="hybridMultilevel"/>
    <w:tmpl w:val="F1C6C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2"/>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hideGrammaticalErrors/>
  <w:proofState w:spelling="clean" w:grammar="clean"/>
  <w:stylePaneSortMethod w:val="0000"/>
  <w:defaultTabStop w:val="720"/>
  <w:characterSpacingControl w:val="doNotCompress"/>
  <w:hdrShapeDefaults>
    <o:shapedefaults v:ext="edit" spidmax="30724" style="mso-position-vertical-relative:line" fill="f" fillcolor="white" stroke="f">
      <v:fill color="white" on="f"/>
      <v:stroke on="f"/>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0539C"/>
    <w:rsid w:val="00012992"/>
    <w:rsid w:val="00026296"/>
    <w:rsid w:val="00035179"/>
    <w:rsid w:val="0004171B"/>
    <w:rsid w:val="00066D76"/>
    <w:rsid w:val="00070F1B"/>
    <w:rsid w:val="00072ED5"/>
    <w:rsid w:val="00075229"/>
    <w:rsid w:val="000762BB"/>
    <w:rsid w:val="00076990"/>
    <w:rsid w:val="0008321C"/>
    <w:rsid w:val="00093F52"/>
    <w:rsid w:val="000B1D9A"/>
    <w:rsid w:val="000C5893"/>
    <w:rsid w:val="000D72D4"/>
    <w:rsid w:val="000E2107"/>
    <w:rsid w:val="000E538E"/>
    <w:rsid w:val="000F25EE"/>
    <w:rsid w:val="00104A9D"/>
    <w:rsid w:val="00106EA6"/>
    <w:rsid w:val="00107388"/>
    <w:rsid w:val="00127F81"/>
    <w:rsid w:val="00133012"/>
    <w:rsid w:val="00147E06"/>
    <w:rsid w:val="00191CB3"/>
    <w:rsid w:val="00194C5B"/>
    <w:rsid w:val="001962D8"/>
    <w:rsid w:val="001A4260"/>
    <w:rsid w:val="001C4E96"/>
    <w:rsid w:val="001E4424"/>
    <w:rsid w:val="001F57D8"/>
    <w:rsid w:val="00210D1D"/>
    <w:rsid w:val="00211285"/>
    <w:rsid w:val="0022354E"/>
    <w:rsid w:val="0022550C"/>
    <w:rsid w:val="002501CE"/>
    <w:rsid w:val="00252AFE"/>
    <w:rsid w:val="00270EE5"/>
    <w:rsid w:val="002762A9"/>
    <w:rsid w:val="0028392E"/>
    <w:rsid w:val="002959E6"/>
    <w:rsid w:val="002C282A"/>
    <w:rsid w:val="002E4451"/>
    <w:rsid w:val="0030460D"/>
    <w:rsid w:val="00326042"/>
    <w:rsid w:val="00377584"/>
    <w:rsid w:val="003829BE"/>
    <w:rsid w:val="003A2178"/>
    <w:rsid w:val="003B23B1"/>
    <w:rsid w:val="003B5A0C"/>
    <w:rsid w:val="003B5BE1"/>
    <w:rsid w:val="003C07C5"/>
    <w:rsid w:val="003C3F25"/>
    <w:rsid w:val="003D74A3"/>
    <w:rsid w:val="003E3154"/>
    <w:rsid w:val="003E6722"/>
    <w:rsid w:val="003F27A9"/>
    <w:rsid w:val="003F5DCD"/>
    <w:rsid w:val="003F74AE"/>
    <w:rsid w:val="0040776C"/>
    <w:rsid w:val="00412F69"/>
    <w:rsid w:val="004200AA"/>
    <w:rsid w:val="0043375F"/>
    <w:rsid w:val="00434D10"/>
    <w:rsid w:val="004932C5"/>
    <w:rsid w:val="004A16D1"/>
    <w:rsid w:val="004A7D44"/>
    <w:rsid w:val="004B28DE"/>
    <w:rsid w:val="004B6067"/>
    <w:rsid w:val="004D5FDD"/>
    <w:rsid w:val="004D7568"/>
    <w:rsid w:val="004E17B3"/>
    <w:rsid w:val="004E6207"/>
    <w:rsid w:val="004E6E6D"/>
    <w:rsid w:val="004F1BB7"/>
    <w:rsid w:val="005233C4"/>
    <w:rsid w:val="00531E4C"/>
    <w:rsid w:val="00533AB5"/>
    <w:rsid w:val="0057014E"/>
    <w:rsid w:val="00581188"/>
    <w:rsid w:val="00586A39"/>
    <w:rsid w:val="00587431"/>
    <w:rsid w:val="00587725"/>
    <w:rsid w:val="005922C3"/>
    <w:rsid w:val="00592E38"/>
    <w:rsid w:val="00596A2D"/>
    <w:rsid w:val="005A160D"/>
    <w:rsid w:val="005D1F06"/>
    <w:rsid w:val="005D5B60"/>
    <w:rsid w:val="005F1EC9"/>
    <w:rsid w:val="006273D0"/>
    <w:rsid w:val="00635070"/>
    <w:rsid w:val="00642E22"/>
    <w:rsid w:val="006567B9"/>
    <w:rsid w:val="006674D7"/>
    <w:rsid w:val="0067087D"/>
    <w:rsid w:val="0068642B"/>
    <w:rsid w:val="00697E6A"/>
    <w:rsid w:val="006A28CA"/>
    <w:rsid w:val="006B6328"/>
    <w:rsid w:val="006B7A3A"/>
    <w:rsid w:val="006D5745"/>
    <w:rsid w:val="007039DB"/>
    <w:rsid w:val="007160C4"/>
    <w:rsid w:val="00720A7C"/>
    <w:rsid w:val="00725F98"/>
    <w:rsid w:val="00732E0F"/>
    <w:rsid w:val="00741877"/>
    <w:rsid w:val="00744BE9"/>
    <w:rsid w:val="00750DC3"/>
    <w:rsid w:val="00761684"/>
    <w:rsid w:val="007677AB"/>
    <w:rsid w:val="007728F6"/>
    <w:rsid w:val="007874BA"/>
    <w:rsid w:val="007B7506"/>
    <w:rsid w:val="008032F6"/>
    <w:rsid w:val="00811A69"/>
    <w:rsid w:val="0081513C"/>
    <w:rsid w:val="00822C37"/>
    <w:rsid w:val="00831630"/>
    <w:rsid w:val="00846ACF"/>
    <w:rsid w:val="00856DEE"/>
    <w:rsid w:val="00862224"/>
    <w:rsid w:val="008812F0"/>
    <w:rsid w:val="00890537"/>
    <w:rsid w:val="00890FBD"/>
    <w:rsid w:val="008B16F6"/>
    <w:rsid w:val="008C394F"/>
    <w:rsid w:val="008D0D96"/>
    <w:rsid w:val="008F206B"/>
    <w:rsid w:val="00907954"/>
    <w:rsid w:val="009109A0"/>
    <w:rsid w:val="0092013E"/>
    <w:rsid w:val="00941797"/>
    <w:rsid w:val="009767C2"/>
    <w:rsid w:val="009812C8"/>
    <w:rsid w:val="009849BE"/>
    <w:rsid w:val="0099162B"/>
    <w:rsid w:val="009B0C69"/>
    <w:rsid w:val="009B5DD8"/>
    <w:rsid w:val="009C4D19"/>
    <w:rsid w:val="009D6C43"/>
    <w:rsid w:val="00A24EDC"/>
    <w:rsid w:val="00A25D96"/>
    <w:rsid w:val="00A267A3"/>
    <w:rsid w:val="00A342A4"/>
    <w:rsid w:val="00A35824"/>
    <w:rsid w:val="00A478ED"/>
    <w:rsid w:val="00A6245C"/>
    <w:rsid w:val="00A64728"/>
    <w:rsid w:val="00A73608"/>
    <w:rsid w:val="00AA2E26"/>
    <w:rsid w:val="00AD4109"/>
    <w:rsid w:val="00AD5CA8"/>
    <w:rsid w:val="00AE00AF"/>
    <w:rsid w:val="00B02816"/>
    <w:rsid w:val="00B0584B"/>
    <w:rsid w:val="00B06C8A"/>
    <w:rsid w:val="00B237AD"/>
    <w:rsid w:val="00B307BD"/>
    <w:rsid w:val="00B46B6F"/>
    <w:rsid w:val="00B479C0"/>
    <w:rsid w:val="00B562E7"/>
    <w:rsid w:val="00B5658B"/>
    <w:rsid w:val="00B63249"/>
    <w:rsid w:val="00B63FDC"/>
    <w:rsid w:val="00B65643"/>
    <w:rsid w:val="00B93E46"/>
    <w:rsid w:val="00B97FF5"/>
    <w:rsid w:val="00BA5E86"/>
    <w:rsid w:val="00BD2619"/>
    <w:rsid w:val="00BD2DCC"/>
    <w:rsid w:val="00BD5B73"/>
    <w:rsid w:val="00BD6855"/>
    <w:rsid w:val="00C0224E"/>
    <w:rsid w:val="00C13576"/>
    <w:rsid w:val="00C21315"/>
    <w:rsid w:val="00C227CA"/>
    <w:rsid w:val="00C3573D"/>
    <w:rsid w:val="00C450F6"/>
    <w:rsid w:val="00C7089B"/>
    <w:rsid w:val="00C7495C"/>
    <w:rsid w:val="00C801C6"/>
    <w:rsid w:val="00C836E4"/>
    <w:rsid w:val="00C9670A"/>
    <w:rsid w:val="00C96ED2"/>
    <w:rsid w:val="00CB4FB2"/>
    <w:rsid w:val="00CB5953"/>
    <w:rsid w:val="00CC1197"/>
    <w:rsid w:val="00CE518C"/>
    <w:rsid w:val="00D054A3"/>
    <w:rsid w:val="00D10315"/>
    <w:rsid w:val="00D15714"/>
    <w:rsid w:val="00D21673"/>
    <w:rsid w:val="00D41221"/>
    <w:rsid w:val="00D469D8"/>
    <w:rsid w:val="00D47147"/>
    <w:rsid w:val="00D54FF0"/>
    <w:rsid w:val="00D62712"/>
    <w:rsid w:val="00D65D34"/>
    <w:rsid w:val="00D80D25"/>
    <w:rsid w:val="00D840DF"/>
    <w:rsid w:val="00D86B65"/>
    <w:rsid w:val="00D943C3"/>
    <w:rsid w:val="00D9600B"/>
    <w:rsid w:val="00DB5A18"/>
    <w:rsid w:val="00DC1B27"/>
    <w:rsid w:val="00DD150B"/>
    <w:rsid w:val="00DF36F1"/>
    <w:rsid w:val="00DF3C88"/>
    <w:rsid w:val="00DF5875"/>
    <w:rsid w:val="00E06488"/>
    <w:rsid w:val="00E1366F"/>
    <w:rsid w:val="00E221F5"/>
    <w:rsid w:val="00E3298E"/>
    <w:rsid w:val="00E53D9D"/>
    <w:rsid w:val="00E60B48"/>
    <w:rsid w:val="00E6428B"/>
    <w:rsid w:val="00E84CE7"/>
    <w:rsid w:val="00E93282"/>
    <w:rsid w:val="00E93453"/>
    <w:rsid w:val="00EA5A1A"/>
    <w:rsid w:val="00EC50CC"/>
    <w:rsid w:val="00EC7868"/>
    <w:rsid w:val="00EE5619"/>
    <w:rsid w:val="00F0202F"/>
    <w:rsid w:val="00F21011"/>
    <w:rsid w:val="00F40B14"/>
    <w:rsid w:val="00F63AAD"/>
    <w:rsid w:val="00F96336"/>
    <w:rsid w:val="00FA3C79"/>
    <w:rsid w:val="00FA4129"/>
    <w:rsid w:val="00FB2661"/>
    <w:rsid w:val="00FC0F9A"/>
    <w:rsid w:val="00FC27A6"/>
    <w:rsid w:val="00FC4AE9"/>
    <w:rsid w:val="00FD285F"/>
    <w:rsid w:val="00FD5334"/>
    <w:rsid w:val="00FE3F7B"/>
    <w:rsid w:val="00FF457B"/>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style="mso-position-vertical-relative:line" fill="f" fillcolor="white" stroke="f">
      <v:fill color="white" on="f"/>
      <v:stroke on="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aliases w:val="Heading 1 EVALUATION"/>
    <w:basedOn w:val="Normal"/>
    <w:next w:val="Normal"/>
    <w:link w:val="Heading1Char"/>
    <w:qFormat/>
    <w:rsid w:val="008032F6"/>
    <w:pPr>
      <w:keepNext/>
      <w:spacing w:after="160"/>
      <w:outlineLvl w:val="0"/>
    </w:pPr>
    <w:rPr>
      <w:rFonts w:eastAsia="SimSun"/>
      <w:bCs/>
      <w:color w:val="00B2E3"/>
      <w:kern w:val="32"/>
      <w:sz w:val="44"/>
      <w:szCs w:val="32"/>
    </w:rPr>
  </w:style>
  <w:style w:type="paragraph" w:styleId="Heading2">
    <w:name w:val="heading 2"/>
    <w:aliases w:val="Heading 2 EVALUATION"/>
    <w:basedOn w:val="Normal"/>
    <w:next w:val="Normal"/>
    <w:qFormat/>
    <w:rsid w:val="008032F6"/>
    <w:pPr>
      <w:keepNext/>
      <w:spacing w:before="360" w:after="160" w:line="360" w:lineRule="exact"/>
      <w:outlineLvl w:val="1"/>
    </w:pPr>
    <w:rPr>
      <w:b/>
      <w:sz w:val="32"/>
    </w:rPr>
  </w:style>
  <w:style w:type="paragraph" w:styleId="Heading3">
    <w:name w:val="heading 3"/>
    <w:aliases w:val="Heading 3 EVALUATION"/>
    <w:basedOn w:val="Normal"/>
    <w:next w:val="Normal"/>
    <w:qFormat/>
    <w:rsid w:val="00741877"/>
    <w:pPr>
      <w:keepNext/>
      <w:suppressAutoHyphens/>
      <w:spacing w:before="360" w:after="160" w:line="360" w:lineRule="exact"/>
      <w:outlineLvl w:val="2"/>
    </w:pPr>
    <w:rPr>
      <w:sz w:val="28"/>
    </w:rPr>
  </w:style>
  <w:style w:type="paragraph" w:styleId="Heading4">
    <w:name w:val="heading 4"/>
    <w:aliases w:val="Heading 4 EVALUATION"/>
    <w:basedOn w:val="Normal"/>
    <w:next w:val="Normal"/>
    <w:link w:val="Heading4Char"/>
    <w:unhideWhenUsed/>
    <w:qFormat/>
    <w:rsid w:val="00C7089B"/>
    <w:pPr>
      <w:keepNext/>
      <w:spacing w:before="360" w:after="10"/>
      <w:outlineLvl w:val="3"/>
    </w:pPr>
    <w:rPr>
      <w:rFonts w:eastAsia="SimSun"/>
      <w:bCs/>
      <w:i/>
      <w:color w:val="00B2E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32F6"/>
    <w:pPr>
      <w:suppressAutoHyphens/>
      <w:spacing w:after="280" w:line="300" w:lineRule="exact"/>
      <w:ind w:right="45"/>
    </w:pPr>
    <w:rPr>
      <w:sz w:val="22"/>
    </w:rPr>
  </w:style>
  <w:style w:type="paragraph" w:styleId="Header">
    <w:name w:val="header"/>
    <w:aliases w:val="Header EVALUATION"/>
    <w:basedOn w:val="Heading1"/>
    <w:rsid w:val="007677AB"/>
    <w:pPr>
      <w:spacing w:before="240" w:after="360"/>
    </w:pPr>
    <w:rPr>
      <w:b/>
      <w:color w:val="7F7F7F"/>
      <w:sz w:val="52"/>
    </w:rPr>
  </w:style>
  <w:style w:type="paragraph" w:styleId="Footer">
    <w:name w:val="footer"/>
    <w:basedOn w:val="Normal"/>
    <w:rsid w:val="007A612B"/>
    <w:pPr>
      <w:tabs>
        <w:tab w:val="center" w:pos="4153"/>
        <w:tab w:val="right" w:pos="8306"/>
      </w:tabs>
    </w:pPr>
  </w:style>
  <w:style w:type="character" w:customStyle="1" w:styleId="Heading1Char">
    <w:name w:val="Heading 1 Char"/>
    <w:aliases w:val="Heading 1 EVALUATION Char"/>
    <w:link w:val="Heading1"/>
    <w:rsid w:val="008032F6"/>
    <w:rPr>
      <w:rFonts w:ascii="Arial" w:eastAsia="SimSun" w:hAnsi="Arial" w:cs="Times New Roman"/>
      <w:bCs/>
      <w:color w:val="00B2E3"/>
      <w:kern w:val="32"/>
      <w:sz w:val="44"/>
      <w:szCs w:val="32"/>
      <w:lang w:eastAsia="en-AU"/>
    </w:rPr>
  </w:style>
  <w:style w:type="character" w:customStyle="1" w:styleId="Heading4Char">
    <w:name w:val="Heading 4 Char"/>
    <w:aliases w:val="Heading 4 EVALUATION Char"/>
    <w:link w:val="Heading4"/>
    <w:rsid w:val="00C7089B"/>
    <w:rPr>
      <w:rFonts w:ascii="Arial" w:eastAsia="SimSun" w:hAnsi="Arial" w:cs="Times New Roman"/>
      <w:bCs/>
      <w:i/>
      <w:color w:val="00B2E3"/>
      <w:sz w:val="24"/>
      <w:szCs w:val="28"/>
      <w:lang w:eastAsia="en-AU"/>
    </w:rPr>
  </w:style>
  <w:style w:type="character" w:styleId="HTMLAcronym">
    <w:name w:val="HTML Acronym"/>
    <w:basedOn w:val="DefaultParagraphFont"/>
    <w:rsid w:val="005D5B60"/>
  </w:style>
  <w:style w:type="paragraph" w:styleId="BodyText">
    <w:name w:val="Body Text"/>
    <w:basedOn w:val="Normal"/>
    <w:link w:val="BodyTextChar"/>
    <w:rsid w:val="005D5B60"/>
    <w:pPr>
      <w:spacing w:after="120" w:line="360" w:lineRule="auto"/>
    </w:pPr>
    <w:rPr>
      <w:sz w:val="22"/>
    </w:rPr>
  </w:style>
  <w:style w:type="character" w:customStyle="1" w:styleId="BodyTextChar">
    <w:name w:val="Body Text Char"/>
    <w:link w:val="BodyText"/>
    <w:rsid w:val="005D5B60"/>
    <w:rPr>
      <w:rFonts w:ascii="Arial" w:eastAsia="Times" w:hAnsi="Arial"/>
      <w:sz w:val="22"/>
      <w:lang w:eastAsia="en-AU"/>
    </w:rPr>
  </w:style>
  <w:style w:type="paragraph" w:styleId="List">
    <w:name w:val="List"/>
    <w:basedOn w:val="Normal"/>
    <w:rsid w:val="005D5B60"/>
    <w:pPr>
      <w:ind w:left="283" w:hanging="283"/>
      <w:contextualSpacing/>
    </w:pPr>
  </w:style>
  <w:style w:type="paragraph" w:styleId="ListBullet">
    <w:name w:val="List Bullet"/>
    <w:aliases w:val="List Bullet EVALUATION"/>
    <w:basedOn w:val="Normal"/>
    <w:rsid w:val="007677AB"/>
    <w:pPr>
      <w:numPr>
        <w:numId w:val="1"/>
      </w:numPr>
      <w:spacing w:after="60"/>
      <w:contextualSpacing/>
    </w:pPr>
    <w:rPr>
      <w:sz w:val="22"/>
    </w:rPr>
  </w:style>
  <w:style w:type="paragraph" w:styleId="BodyText2">
    <w:name w:val="Body Text 2"/>
    <w:basedOn w:val="Normal"/>
    <w:link w:val="BodyText2Char"/>
    <w:rsid w:val="005D5B60"/>
    <w:pPr>
      <w:spacing w:after="120"/>
    </w:pPr>
    <w:rPr>
      <w:sz w:val="22"/>
    </w:rPr>
  </w:style>
  <w:style w:type="character" w:customStyle="1" w:styleId="BodyText2Char">
    <w:name w:val="Body Text 2 Char"/>
    <w:link w:val="BodyText2"/>
    <w:rsid w:val="005D5B60"/>
    <w:rPr>
      <w:rFonts w:ascii="Arial" w:eastAsia="Times" w:hAnsi="Arial"/>
      <w:sz w:val="22"/>
      <w:lang w:eastAsia="en-AU"/>
    </w:rPr>
  </w:style>
  <w:style w:type="paragraph" w:styleId="ListBullet2">
    <w:name w:val="List Bullet 2"/>
    <w:aliases w:val="List Bullet 2 EVALUATION"/>
    <w:basedOn w:val="Normal"/>
    <w:rsid w:val="007677AB"/>
    <w:pPr>
      <w:numPr>
        <w:numId w:val="2"/>
      </w:numPr>
      <w:spacing w:after="60"/>
      <w:contextualSpacing/>
    </w:pPr>
    <w:rPr>
      <w:sz w:val="22"/>
    </w:rPr>
  </w:style>
  <w:style w:type="paragraph" w:styleId="ListBullet3">
    <w:name w:val="List Bullet 3"/>
    <w:aliases w:val="List Bullet 3 EVALUATION"/>
    <w:basedOn w:val="Normal"/>
    <w:rsid w:val="007677AB"/>
    <w:pPr>
      <w:numPr>
        <w:numId w:val="3"/>
      </w:numPr>
      <w:contextualSpacing/>
    </w:pPr>
    <w:rPr>
      <w:sz w:val="22"/>
    </w:rPr>
  </w:style>
  <w:style w:type="table" w:styleId="TableGrid">
    <w:name w:val="Table Grid"/>
    <w:basedOn w:val="TableNormal"/>
    <w:uiPriority w:val="59"/>
    <w:rsid w:val="0078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B14"/>
    <w:pPr>
      <w:spacing w:after="200" w:line="276" w:lineRule="auto"/>
      <w:ind w:left="720"/>
      <w:contextualSpacing/>
    </w:pPr>
    <w:rPr>
      <w:rFonts w:ascii="Calibri" w:eastAsia="SimSun" w:hAnsi="Calibri"/>
      <w:sz w:val="22"/>
      <w:szCs w:val="22"/>
      <w:lang w:eastAsia="zh-CN"/>
    </w:rPr>
  </w:style>
  <w:style w:type="character" w:styleId="CommentReference">
    <w:name w:val="annotation reference"/>
    <w:uiPriority w:val="99"/>
    <w:unhideWhenUsed/>
    <w:rsid w:val="00F40B14"/>
    <w:rPr>
      <w:sz w:val="16"/>
      <w:szCs w:val="16"/>
    </w:rPr>
  </w:style>
  <w:style w:type="character" w:styleId="Hyperlink">
    <w:name w:val="Hyperlink"/>
    <w:rsid w:val="00F96336"/>
    <w:rPr>
      <w:color w:val="0000FF"/>
      <w:u w:val="single"/>
    </w:rPr>
  </w:style>
  <w:style w:type="paragraph" w:styleId="CommentText">
    <w:name w:val="annotation text"/>
    <w:basedOn w:val="Normal"/>
    <w:link w:val="CommentTextChar"/>
    <w:rsid w:val="00B93E46"/>
    <w:rPr>
      <w:sz w:val="20"/>
    </w:rPr>
  </w:style>
  <w:style w:type="character" w:customStyle="1" w:styleId="CommentTextChar">
    <w:name w:val="Comment Text Char"/>
    <w:link w:val="CommentText"/>
    <w:rsid w:val="00B93E46"/>
    <w:rPr>
      <w:rFonts w:ascii="Arial" w:eastAsia="Times" w:hAnsi="Arial"/>
      <w:lang w:eastAsia="en-AU"/>
    </w:rPr>
  </w:style>
  <w:style w:type="paragraph" w:styleId="CommentSubject">
    <w:name w:val="annotation subject"/>
    <w:basedOn w:val="CommentText"/>
    <w:next w:val="CommentText"/>
    <w:link w:val="CommentSubjectChar"/>
    <w:rsid w:val="00B93E46"/>
    <w:rPr>
      <w:b/>
      <w:bCs/>
    </w:rPr>
  </w:style>
  <w:style w:type="character" w:customStyle="1" w:styleId="CommentSubjectChar">
    <w:name w:val="Comment Subject Char"/>
    <w:link w:val="CommentSubject"/>
    <w:rsid w:val="00B93E46"/>
    <w:rPr>
      <w:rFonts w:ascii="Arial" w:eastAsia="Times" w:hAnsi="Arial"/>
      <w:b/>
      <w:bCs/>
      <w:lang w:eastAsia="en-AU"/>
    </w:rPr>
  </w:style>
  <w:style w:type="paragraph" w:styleId="BalloonText">
    <w:name w:val="Balloon Text"/>
    <w:basedOn w:val="Normal"/>
    <w:link w:val="BalloonTextChar"/>
    <w:rsid w:val="00B93E46"/>
    <w:rPr>
      <w:rFonts w:ascii="Tahoma" w:hAnsi="Tahoma" w:cs="Tahoma"/>
      <w:sz w:val="16"/>
      <w:szCs w:val="16"/>
    </w:rPr>
  </w:style>
  <w:style w:type="character" w:customStyle="1" w:styleId="BalloonTextChar">
    <w:name w:val="Balloon Text Char"/>
    <w:link w:val="BalloonText"/>
    <w:rsid w:val="00B93E46"/>
    <w:rPr>
      <w:rFonts w:ascii="Tahoma" w:eastAsia="Times" w:hAnsi="Tahoma" w:cs="Tahoma"/>
      <w:sz w:val="16"/>
      <w:szCs w:val="16"/>
      <w:lang w:eastAsia="en-AU"/>
    </w:rPr>
  </w:style>
  <w:style w:type="paragraph" w:styleId="FootnoteText">
    <w:name w:val="footnote text"/>
    <w:basedOn w:val="Normal"/>
    <w:link w:val="FootnoteTextChar"/>
    <w:rsid w:val="00761684"/>
    <w:rPr>
      <w:sz w:val="20"/>
    </w:rPr>
  </w:style>
  <w:style w:type="character" w:customStyle="1" w:styleId="FootnoteTextChar">
    <w:name w:val="Footnote Text Char"/>
    <w:link w:val="FootnoteText"/>
    <w:rsid w:val="00761684"/>
    <w:rPr>
      <w:rFonts w:ascii="Arial" w:eastAsia="Times" w:hAnsi="Arial"/>
      <w:lang w:eastAsia="en-AU"/>
    </w:rPr>
  </w:style>
  <w:style w:type="character" w:styleId="FootnoteReference">
    <w:name w:val="footnote reference"/>
    <w:rsid w:val="00761684"/>
    <w:rPr>
      <w:vertAlign w:val="superscript"/>
    </w:rPr>
  </w:style>
  <w:style w:type="table" w:styleId="TableColumns5">
    <w:name w:val="Table Columns 5"/>
    <w:basedOn w:val="TableNormal"/>
    <w:rsid w:val="003F2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rmalWeb">
    <w:name w:val="Normal (Web)"/>
    <w:basedOn w:val="Normal"/>
    <w:uiPriority w:val="99"/>
    <w:unhideWhenUsed/>
    <w:rsid w:val="003F27A9"/>
    <w:pPr>
      <w:spacing w:before="100" w:beforeAutospacing="1" w:after="100" w:afterAutospacing="1"/>
    </w:pPr>
    <w:rPr>
      <w:rFonts w:ascii="Times New Roman" w:eastAsia="SimSun" w:hAnsi="Times New Roman"/>
      <w:szCs w:val="24"/>
      <w:lang w:eastAsia="zh-CN"/>
    </w:rPr>
  </w:style>
  <w:style w:type="character" w:styleId="FollowedHyperlink">
    <w:name w:val="FollowedHyperlink"/>
    <w:basedOn w:val="DefaultParagraphFont"/>
    <w:rsid w:val="00FC4AE9"/>
    <w:rPr>
      <w:color w:val="800080" w:themeColor="followedHyperlink"/>
      <w:u w:val="single"/>
    </w:rPr>
  </w:style>
  <w:style w:type="paragraph" w:styleId="Revision">
    <w:name w:val="Revision"/>
    <w:hidden/>
    <w:uiPriority w:val="71"/>
    <w:rsid w:val="00035179"/>
    <w:rPr>
      <w:rFonts w:ascii="Arial" w:eastAsia="Times"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aliases w:val="Heading 1 EVALUATION"/>
    <w:basedOn w:val="Normal"/>
    <w:next w:val="Normal"/>
    <w:link w:val="Heading1Char"/>
    <w:qFormat/>
    <w:rsid w:val="008032F6"/>
    <w:pPr>
      <w:keepNext/>
      <w:spacing w:after="160"/>
      <w:outlineLvl w:val="0"/>
    </w:pPr>
    <w:rPr>
      <w:rFonts w:eastAsia="SimSun"/>
      <w:bCs/>
      <w:color w:val="00B2E3"/>
      <w:kern w:val="32"/>
      <w:sz w:val="44"/>
      <w:szCs w:val="32"/>
    </w:rPr>
  </w:style>
  <w:style w:type="paragraph" w:styleId="Heading2">
    <w:name w:val="heading 2"/>
    <w:aliases w:val="Heading 2 EVALUATION"/>
    <w:basedOn w:val="Normal"/>
    <w:next w:val="Normal"/>
    <w:qFormat/>
    <w:rsid w:val="008032F6"/>
    <w:pPr>
      <w:keepNext/>
      <w:spacing w:before="360" w:after="160" w:line="360" w:lineRule="exact"/>
      <w:outlineLvl w:val="1"/>
    </w:pPr>
    <w:rPr>
      <w:b/>
      <w:sz w:val="32"/>
    </w:rPr>
  </w:style>
  <w:style w:type="paragraph" w:styleId="Heading3">
    <w:name w:val="heading 3"/>
    <w:aliases w:val="Heading 3 EVALUATION"/>
    <w:basedOn w:val="Normal"/>
    <w:next w:val="Normal"/>
    <w:qFormat/>
    <w:rsid w:val="00741877"/>
    <w:pPr>
      <w:keepNext/>
      <w:suppressAutoHyphens/>
      <w:spacing w:before="360" w:after="160" w:line="360" w:lineRule="exact"/>
      <w:outlineLvl w:val="2"/>
    </w:pPr>
    <w:rPr>
      <w:sz w:val="28"/>
    </w:rPr>
  </w:style>
  <w:style w:type="paragraph" w:styleId="Heading4">
    <w:name w:val="heading 4"/>
    <w:aliases w:val="Heading 4 EVALUATION"/>
    <w:basedOn w:val="Normal"/>
    <w:next w:val="Normal"/>
    <w:link w:val="Heading4Char"/>
    <w:unhideWhenUsed/>
    <w:qFormat/>
    <w:rsid w:val="00C7089B"/>
    <w:pPr>
      <w:keepNext/>
      <w:spacing w:before="360" w:after="10"/>
      <w:outlineLvl w:val="3"/>
    </w:pPr>
    <w:rPr>
      <w:rFonts w:eastAsia="SimSun"/>
      <w:bCs/>
      <w:i/>
      <w:color w:val="00B2E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32F6"/>
    <w:pPr>
      <w:suppressAutoHyphens/>
      <w:spacing w:after="280" w:line="300" w:lineRule="exact"/>
      <w:ind w:right="45"/>
    </w:pPr>
    <w:rPr>
      <w:sz w:val="22"/>
    </w:rPr>
  </w:style>
  <w:style w:type="paragraph" w:styleId="Header">
    <w:name w:val="header"/>
    <w:aliases w:val="Header EVALUATION"/>
    <w:basedOn w:val="Heading1"/>
    <w:rsid w:val="007677AB"/>
    <w:pPr>
      <w:spacing w:before="240" w:after="360"/>
    </w:pPr>
    <w:rPr>
      <w:b/>
      <w:color w:val="7F7F7F"/>
      <w:sz w:val="52"/>
    </w:rPr>
  </w:style>
  <w:style w:type="paragraph" w:styleId="Footer">
    <w:name w:val="footer"/>
    <w:basedOn w:val="Normal"/>
    <w:rsid w:val="007A612B"/>
    <w:pPr>
      <w:tabs>
        <w:tab w:val="center" w:pos="4153"/>
        <w:tab w:val="right" w:pos="8306"/>
      </w:tabs>
    </w:pPr>
  </w:style>
  <w:style w:type="character" w:customStyle="1" w:styleId="Heading1Char">
    <w:name w:val="Heading 1 Char"/>
    <w:aliases w:val="Heading 1 EVALUATION Char"/>
    <w:link w:val="Heading1"/>
    <w:rsid w:val="008032F6"/>
    <w:rPr>
      <w:rFonts w:ascii="Arial" w:eastAsia="SimSun" w:hAnsi="Arial" w:cs="Times New Roman"/>
      <w:bCs/>
      <w:color w:val="00B2E3"/>
      <w:kern w:val="32"/>
      <w:sz w:val="44"/>
      <w:szCs w:val="32"/>
      <w:lang w:eastAsia="en-AU"/>
    </w:rPr>
  </w:style>
  <w:style w:type="character" w:customStyle="1" w:styleId="Heading4Char">
    <w:name w:val="Heading 4 Char"/>
    <w:aliases w:val="Heading 4 EVALUATION Char"/>
    <w:link w:val="Heading4"/>
    <w:rsid w:val="00C7089B"/>
    <w:rPr>
      <w:rFonts w:ascii="Arial" w:eastAsia="SimSun" w:hAnsi="Arial" w:cs="Times New Roman"/>
      <w:bCs/>
      <w:i/>
      <w:color w:val="00B2E3"/>
      <w:sz w:val="24"/>
      <w:szCs w:val="28"/>
      <w:lang w:eastAsia="en-AU"/>
    </w:rPr>
  </w:style>
  <w:style w:type="character" w:styleId="HTMLAcronym">
    <w:name w:val="HTML Acronym"/>
    <w:basedOn w:val="DefaultParagraphFont"/>
    <w:rsid w:val="005D5B60"/>
  </w:style>
  <w:style w:type="paragraph" w:styleId="BodyText">
    <w:name w:val="Body Text"/>
    <w:basedOn w:val="Normal"/>
    <w:link w:val="BodyTextChar"/>
    <w:rsid w:val="005D5B60"/>
    <w:pPr>
      <w:spacing w:after="120" w:line="360" w:lineRule="auto"/>
    </w:pPr>
    <w:rPr>
      <w:sz w:val="22"/>
    </w:rPr>
  </w:style>
  <w:style w:type="character" w:customStyle="1" w:styleId="BodyTextChar">
    <w:name w:val="Body Text Char"/>
    <w:link w:val="BodyText"/>
    <w:rsid w:val="005D5B60"/>
    <w:rPr>
      <w:rFonts w:ascii="Arial" w:eastAsia="Times" w:hAnsi="Arial"/>
      <w:sz w:val="22"/>
      <w:lang w:eastAsia="en-AU"/>
    </w:rPr>
  </w:style>
  <w:style w:type="paragraph" w:styleId="List">
    <w:name w:val="List"/>
    <w:basedOn w:val="Normal"/>
    <w:rsid w:val="005D5B60"/>
    <w:pPr>
      <w:ind w:left="283" w:hanging="283"/>
      <w:contextualSpacing/>
    </w:pPr>
  </w:style>
  <w:style w:type="paragraph" w:styleId="ListBullet">
    <w:name w:val="List Bullet"/>
    <w:aliases w:val="List Bullet EVALUATION"/>
    <w:basedOn w:val="Normal"/>
    <w:rsid w:val="007677AB"/>
    <w:pPr>
      <w:numPr>
        <w:numId w:val="1"/>
      </w:numPr>
      <w:spacing w:after="60"/>
      <w:contextualSpacing/>
    </w:pPr>
    <w:rPr>
      <w:sz w:val="22"/>
    </w:rPr>
  </w:style>
  <w:style w:type="paragraph" w:styleId="BodyText2">
    <w:name w:val="Body Text 2"/>
    <w:basedOn w:val="Normal"/>
    <w:link w:val="BodyText2Char"/>
    <w:rsid w:val="005D5B60"/>
    <w:pPr>
      <w:spacing w:after="120"/>
    </w:pPr>
    <w:rPr>
      <w:sz w:val="22"/>
    </w:rPr>
  </w:style>
  <w:style w:type="character" w:customStyle="1" w:styleId="BodyText2Char">
    <w:name w:val="Body Text 2 Char"/>
    <w:link w:val="BodyText2"/>
    <w:rsid w:val="005D5B60"/>
    <w:rPr>
      <w:rFonts w:ascii="Arial" w:eastAsia="Times" w:hAnsi="Arial"/>
      <w:sz w:val="22"/>
      <w:lang w:eastAsia="en-AU"/>
    </w:rPr>
  </w:style>
  <w:style w:type="paragraph" w:styleId="ListBullet2">
    <w:name w:val="List Bullet 2"/>
    <w:aliases w:val="List Bullet 2 EVALUATION"/>
    <w:basedOn w:val="Normal"/>
    <w:rsid w:val="007677AB"/>
    <w:pPr>
      <w:numPr>
        <w:numId w:val="2"/>
      </w:numPr>
      <w:spacing w:after="60"/>
      <w:contextualSpacing/>
    </w:pPr>
    <w:rPr>
      <w:sz w:val="22"/>
    </w:rPr>
  </w:style>
  <w:style w:type="paragraph" w:styleId="ListBullet3">
    <w:name w:val="List Bullet 3"/>
    <w:aliases w:val="List Bullet 3 EVALUATION"/>
    <w:basedOn w:val="Normal"/>
    <w:rsid w:val="007677AB"/>
    <w:pPr>
      <w:numPr>
        <w:numId w:val="3"/>
      </w:numPr>
      <w:contextualSpacing/>
    </w:pPr>
    <w:rPr>
      <w:sz w:val="22"/>
    </w:rPr>
  </w:style>
  <w:style w:type="table" w:styleId="TableGrid">
    <w:name w:val="Table Grid"/>
    <w:basedOn w:val="TableNormal"/>
    <w:uiPriority w:val="59"/>
    <w:rsid w:val="0078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B14"/>
    <w:pPr>
      <w:spacing w:after="200" w:line="276" w:lineRule="auto"/>
      <w:ind w:left="720"/>
      <w:contextualSpacing/>
    </w:pPr>
    <w:rPr>
      <w:rFonts w:ascii="Calibri" w:eastAsia="SimSun" w:hAnsi="Calibri"/>
      <w:sz w:val="22"/>
      <w:szCs w:val="22"/>
      <w:lang w:eastAsia="zh-CN"/>
    </w:rPr>
  </w:style>
  <w:style w:type="character" w:styleId="CommentReference">
    <w:name w:val="annotation reference"/>
    <w:uiPriority w:val="99"/>
    <w:unhideWhenUsed/>
    <w:rsid w:val="00F40B14"/>
    <w:rPr>
      <w:sz w:val="16"/>
      <w:szCs w:val="16"/>
    </w:rPr>
  </w:style>
  <w:style w:type="character" w:styleId="Hyperlink">
    <w:name w:val="Hyperlink"/>
    <w:rsid w:val="00F96336"/>
    <w:rPr>
      <w:color w:val="0000FF"/>
      <w:u w:val="single"/>
    </w:rPr>
  </w:style>
  <w:style w:type="paragraph" w:styleId="CommentText">
    <w:name w:val="annotation text"/>
    <w:basedOn w:val="Normal"/>
    <w:link w:val="CommentTextChar"/>
    <w:rsid w:val="00B93E46"/>
    <w:rPr>
      <w:sz w:val="20"/>
    </w:rPr>
  </w:style>
  <w:style w:type="character" w:customStyle="1" w:styleId="CommentTextChar">
    <w:name w:val="Comment Text Char"/>
    <w:link w:val="CommentText"/>
    <w:rsid w:val="00B93E46"/>
    <w:rPr>
      <w:rFonts w:ascii="Arial" w:eastAsia="Times" w:hAnsi="Arial"/>
      <w:lang w:eastAsia="en-AU"/>
    </w:rPr>
  </w:style>
  <w:style w:type="paragraph" w:styleId="CommentSubject">
    <w:name w:val="annotation subject"/>
    <w:basedOn w:val="CommentText"/>
    <w:next w:val="CommentText"/>
    <w:link w:val="CommentSubjectChar"/>
    <w:rsid w:val="00B93E46"/>
    <w:rPr>
      <w:b/>
      <w:bCs/>
    </w:rPr>
  </w:style>
  <w:style w:type="character" w:customStyle="1" w:styleId="CommentSubjectChar">
    <w:name w:val="Comment Subject Char"/>
    <w:link w:val="CommentSubject"/>
    <w:rsid w:val="00B93E46"/>
    <w:rPr>
      <w:rFonts w:ascii="Arial" w:eastAsia="Times" w:hAnsi="Arial"/>
      <w:b/>
      <w:bCs/>
      <w:lang w:eastAsia="en-AU"/>
    </w:rPr>
  </w:style>
  <w:style w:type="paragraph" w:styleId="BalloonText">
    <w:name w:val="Balloon Text"/>
    <w:basedOn w:val="Normal"/>
    <w:link w:val="BalloonTextChar"/>
    <w:rsid w:val="00B93E46"/>
    <w:rPr>
      <w:rFonts w:ascii="Tahoma" w:hAnsi="Tahoma" w:cs="Tahoma"/>
      <w:sz w:val="16"/>
      <w:szCs w:val="16"/>
    </w:rPr>
  </w:style>
  <w:style w:type="character" w:customStyle="1" w:styleId="BalloonTextChar">
    <w:name w:val="Balloon Text Char"/>
    <w:link w:val="BalloonText"/>
    <w:rsid w:val="00B93E46"/>
    <w:rPr>
      <w:rFonts w:ascii="Tahoma" w:eastAsia="Times" w:hAnsi="Tahoma" w:cs="Tahoma"/>
      <w:sz w:val="16"/>
      <w:szCs w:val="16"/>
      <w:lang w:eastAsia="en-AU"/>
    </w:rPr>
  </w:style>
  <w:style w:type="paragraph" w:styleId="FootnoteText">
    <w:name w:val="footnote text"/>
    <w:basedOn w:val="Normal"/>
    <w:link w:val="FootnoteTextChar"/>
    <w:rsid w:val="00761684"/>
    <w:rPr>
      <w:sz w:val="20"/>
    </w:rPr>
  </w:style>
  <w:style w:type="character" w:customStyle="1" w:styleId="FootnoteTextChar">
    <w:name w:val="Footnote Text Char"/>
    <w:link w:val="FootnoteText"/>
    <w:rsid w:val="00761684"/>
    <w:rPr>
      <w:rFonts w:ascii="Arial" w:eastAsia="Times" w:hAnsi="Arial"/>
      <w:lang w:eastAsia="en-AU"/>
    </w:rPr>
  </w:style>
  <w:style w:type="character" w:styleId="FootnoteReference">
    <w:name w:val="footnote reference"/>
    <w:rsid w:val="00761684"/>
    <w:rPr>
      <w:vertAlign w:val="superscript"/>
    </w:rPr>
  </w:style>
  <w:style w:type="table" w:styleId="TableColumns5">
    <w:name w:val="Table Columns 5"/>
    <w:basedOn w:val="TableNormal"/>
    <w:rsid w:val="003F27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rmalWeb">
    <w:name w:val="Normal (Web)"/>
    <w:basedOn w:val="Normal"/>
    <w:uiPriority w:val="99"/>
    <w:unhideWhenUsed/>
    <w:rsid w:val="003F27A9"/>
    <w:pPr>
      <w:spacing w:before="100" w:beforeAutospacing="1" w:after="100" w:afterAutospacing="1"/>
    </w:pPr>
    <w:rPr>
      <w:rFonts w:ascii="Times New Roman" w:eastAsia="SimSun" w:hAnsi="Times New Roman"/>
      <w:szCs w:val="24"/>
      <w:lang w:eastAsia="zh-CN"/>
    </w:rPr>
  </w:style>
  <w:style w:type="character" w:styleId="FollowedHyperlink">
    <w:name w:val="FollowedHyperlink"/>
    <w:basedOn w:val="DefaultParagraphFont"/>
    <w:rsid w:val="00FC4AE9"/>
    <w:rPr>
      <w:color w:val="800080" w:themeColor="followedHyperlink"/>
      <w:u w:val="single"/>
    </w:rPr>
  </w:style>
  <w:style w:type="paragraph" w:styleId="Revision">
    <w:name w:val="Revision"/>
    <w:hidden/>
    <w:uiPriority w:val="71"/>
    <w:rsid w:val="00035179"/>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8667">
      <w:bodyDiv w:val="1"/>
      <w:marLeft w:val="0"/>
      <w:marRight w:val="0"/>
      <w:marTop w:val="0"/>
      <w:marBottom w:val="0"/>
      <w:divBdr>
        <w:top w:val="none" w:sz="0" w:space="0" w:color="auto"/>
        <w:left w:val="none" w:sz="0" w:space="0" w:color="auto"/>
        <w:bottom w:val="none" w:sz="0" w:space="0" w:color="auto"/>
        <w:right w:val="none" w:sz="0" w:space="0" w:color="auto"/>
      </w:divBdr>
      <w:divsChild>
        <w:div w:id="1257061077">
          <w:marLeft w:val="2"/>
          <w:marRight w:val="2"/>
          <w:marTop w:val="0"/>
          <w:marBottom w:val="0"/>
          <w:divBdr>
            <w:top w:val="none" w:sz="0" w:space="0" w:color="auto"/>
            <w:left w:val="none" w:sz="0" w:space="0" w:color="auto"/>
            <w:bottom w:val="none" w:sz="0" w:space="0" w:color="auto"/>
            <w:right w:val="none" w:sz="0" w:space="0" w:color="auto"/>
          </w:divBdr>
        </w:div>
      </w:divsChild>
    </w:div>
    <w:div w:id="602762336">
      <w:bodyDiv w:val="1"/>
      <w:marLeft w:val="0"/>
      <w:marRight w:val="0"/>
      <w:marTop w:val="0"/>
      <w:marBottom w:val="0"/>
      <w:divBdr>
        <w:top w:val="none" w:sz="0" w:space="0" w:color="auto"/>
        <w:left w:val="none" w:sz="0" w:space="0" w:color="auto"/>
        <w:bottom w:val="none" w:sz="0" w:space="0" w:color="auto"/>
        <w:right w:val="none" w:sz="0" w:space="0" w:color="auto"/>
      </w:divBdr>
      <w:divsChild>
        <w:div w:id="1665276961">
          <w:marLeft w:val="547"/>
          <w:marRight w:val="0"/>
          <w:marTop w:val="0"/>
          <w:marBottom w:val="0"/>
          <w:divBdr>
            <w:top w:val="none" w:sz="0" w:space="0" w:color="auto"/>
            <w:left w:val="none" w:sz="0" w:space="0" w:color="auto"/>
            <w:bottom w:val="none" w:sz="0" w:space="0" w:color="auto"/>
            <w:right w:val="none" w:sz="0" w:space="0" w:color="auto"/>
          </w:divBdr>
        </w:div>
      </w:divsChild>
    </w:div>
    <w:div w:id="650327937">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0.png"/><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microsoft.com/office/2007/relationships/diagramDrawing" Target="diagrams/drawing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diagramQuickStyle" Target="diagrams/quickStyle1.xml"/><Relationship Id="rId28" Type="http://schemas.openxmlformats.org/officeDocument/2006/relationships/header" Target="header5.xml"/><Relationship Id="rId10" Type="http://schemas.openxmlformats.org/officeDocument/2006/relationships/image" Target="media/image10.png"/><Relationship Id="rId19" Type="http://schemas.openxmlformats.org/officeDocument/2006/relationships/footer" Target="footer4.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image" Target="media/image5.emf"/><Relationship Id="rId30"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orks.bepress.com/stuart_yeh/2/" TargetMode="External"/><Relationship Id="rId1" Type="http://schemas.openxmlformats.org/officeDocument/2006/relationships/hyperlink" Target="https://qed.qld.gov.au/det-publications/reports/Documents/evaluation/evaluation-skilling-queenslanders-wor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A4836F-D2B6-4614-8A58-49FA37ED81F5}"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AU"/>
        </a:p>
      </dgm:t>
    </dgm:pt>
    <dgm:pt modelId="{BD696B31-71A8-4B5F-8433-C6049861A8DA}">
      <dgm:prSet phldrT="[Text]" custT="1"/>
      <dgm:spPr>
        <a:xfrm>
          <a:off x="1351026" y="208026"/>
          <a:ext cx="1280160" cy="1280160"/>
        </a:xfrm>
        <a:solidFill>
          <a:srgbClr val="10C110"/>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More costly, less impact</a:t>
          </a:r>
        </a:p>
      </dgm:t>
    </dgm:pt>
    <dgm:pt modelId="{D35909E1-7BE8-4466-A309-DA209D8687AC}" type="parTrans" cxnId="{A414BD16-1C7B-4E29-AB46-3F7A567B5B6F}">
      <dgm:prSet/>
      <dgm:spPr/>
      <dgm:t>
        <a:bodyPr/>
        <a:lstStyle/>
        <a:p>
          <a:endParaRPr lang="en-AU"/>
        </a:p>
      </dgm:t>
    </dgm:pt>
    <dgm:pt modelId="{8D9F90ED-FA3F-4EB7-ADD5-159E9E3BA2E5}" type="sibTrans" cxnId="{A414BD16-1C7B-4E29-AB46-3F7A567B5B6F}">
      <dgm:prSet/>
      <dgm:spPr/>
      <dgm:t>
        <a:bodyPr/>
        <a:lstStyle/>
        <a:p>
          <a:endParaRPr lang="en-AU"/>
        </a:p>
      </dgm:t>
    </dgm:pt>
    <dgm:pt modelId="{F15E7B82-AD68-40CA-9F4B-548BA22F8347}">
      <dgm:prSet phldrT="[Text]" custT="1"/>
      <dgm:spPr>
        <a:xfrm>
          <a:off x="2855214" y="208026"/>
          <a:ext cx="1280160" cy="1280160"/>
        </a:xfrm>
        <a:solidFill>
          <a:srgbClr val="B01EE6"/>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More costly, more impact</a:t>
          </a:r>
        </a:p>
      </dgm:t>
    </dgm:pt>
    <dgm:pt modelId="{3EE86170-3B56-4F49-A8FE-3911A81D26F2}" type="parTrans" cxnId="{3D78A191-1645-4BBB-92C4-E89AEA2EA84C}">
      <dgm:prSet/>
      <dgm:spPr/>
      <dgm:t>
        <a:bodyPr/>
        <a:lstStyle/>
        <a:p>
          <a:endParaRPr lang="en-AU"/>
        </a:p>
      </dgm:t>
    </dgm:pt>
    <dgm:pt modelId="{AFFEE11E-7262-4862-AB37-943126C0588A}" type="sibTrans" cxnId="{3D78A191-1645-4BBB-92C4-E89AEA2EA84C}">
      <dgm:prSet/>
      <dgm:spPr/>
      <dgm:t>
        <a:bodyPr/>
        <a:lstStyle/>
        <a:p>
          <a:endParaRPr lang="en-AU"/>
        </a:p>
      </dgm:t>
    </dgm:pt>
    <dgm:pt modelId="{41035BEC-8D38-404D-80F5-81B2ADF2FE89}">
      <dgm:prSet phldrT="[Text]" custT="1"/>
      <dgm:spPr>
        <a:xfrm>
          <a:off x="1351026" y="1712214"/>
          <a:ext cx="1280160" cy="1280160"/>
        </a:xfrm>
        <a:solidFill>
          <a:srgbClr val="FF7F00"/>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Less costly, less impact</a:t>
          </a:r>
        </a:p>
      </dgm:t>
    </dgm:pt>
    <dgm:pt modelId="{AB5C8127-6A91-4572-8558-BABD5F590CF6}" type="parTrans" cxnId="{5BEF6FF0-60C6-47DB-A65E-94056AE002E2}">
      <dgm:prSet/>
      <dgm:spPr/>
      <dgm:t>
        <a:bodyPr/>
        <a:lstStyle/>
        <a:p>
          <a:endParaRPr lang="en-AU"/>
        </a:p>
      </dgm:t>
    </dgm:pt>
    <dgm:pt modelId="{79579F05-FD9B-4386-88F7-D2F8503EEA8F}" type="sibTrans" cxnId="{5BEF6FF0-60C6-47DB-A65E-94056AE002E2}">
      <dgm:prSet/>
      <dgm:spPr/>
      <dgm:t>
        <a:bodyPr/>
        <a:lstStyle/>
        <a:p>
          <a:endParaRPr lang="en-AU"/>
        </a:p>
      </dgm:t>
    </dgm:pt>
    <dgm:pt modelId="{FBF9973C-9B42-463C-B775-84F4905B4279}">
      <dgm:prSet phldrT="[Text]" custT="1"/>
      <dgm:spPr>
        <a:xfrm>
          <a:off x="2855214" y="1712214"/>
          <a:ext cx="1280160" cy="1280160"/>
        </a:xfrm>
        <a:solidFill>
          <a:srgbClr val="00B2E3"/>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Less costly, more impact</a:t>
          </a:r>
        </a:p>
      </dgm:t>
    </dgm:pt>
    <dgm:pt modelId="{83CF88AF-5A03-4735-A230-80CE1B471D8C}" type="parTrans" cxnId="{A57861BF-CDD3-47C3-9039-C08961858D6C}">
      <dgm:prSet/>
      <dgm:spPr/>
      <dgm:t>
        <a:bodyPr/>
        <a:lstStyle/>
        <a:p>
          <a:endParaRPr lang="en-AU"/>
        </a:p>
      </dgm:t>
    </dgm:pt>
    <dgm:pt modelId="{842F78C4-F122-44B1-9C7E-8206C7A4A85E}" type="sibTrans" cxnId="{A57861BF-CDD3-47C3-9039-C08961858D6C}">
      <dgm:prSet/>
      <dgm:spPr/>
      <dgm:t>
        <a:bodyPr/>
        <a:lstStyle/>
        <a:p>
          <a:endParaRPr lang="en-AU"/>
        </a:p>
      </dgm:t>
    </dgm:pt>
    <dgm:pt modelId="{ED23903E-1A7C-459B-B9B4-B96EFB725F9A}" type="pres">
      <dgm:prSet presAssocID="{BEA4836F-D2B6-4614-8A58-49FA37ED81F5}" presName="matrix" presStyleCnt="0">
        <dgm:presLayoutVars>
          <dgm:chMax val="1"/>
          <dgm:dir/>
          <dgm:resizeHandles val="exact"/>
        </dgm:presLayoutVars>
      </dgm:prSet>
      <dgm:spPr/>
      <dgm:t>
        <a:bodyPr/>
        <a:lstStyle/>
        <a:p>
          <a:endParaRPr lang="en-AU"/>
        </a:p>
      </dgm:t>
    </dgm:pt>
    <dgm:pt modelId="{1B9692C0-C201-424C-9D57-205AAF94300F}" type="pres">
      <dgm:prSet presAssocID="{BEA4836F-D2B6-4614-8A58-49FA37ED81F5}" presName="axisShape" presStyleLbl="bgShp" presStyleIdx="0" presStyleCnt="1"/>
      <dgm:spPr>
        <a:xfrm>
          <a:off x="1143000" y="0"/>
          <a:ext cx="3200400" cy="3200400"/>
        </a:xfrm>
        <a:prstGeom prst="quadArrow">
          <a:avLst>
            <a:gd name="adj1" fmla="val 2000"/>
            <a:gd name="adj2" fmla="val 4000"/>
            <a:gd name="adj3" fmla="val 5000"/>
          </a:avLst>
        </a:prstGeom>
        <a:solidFill>
          <a:srgbClr val="4F81BD">
            <a:tint val="40000"/>
            <a:hueOff val="0"/>
            <a:satOff val="0"/>
            <a:lumOff val="0"/>
            <a:alphaOff val="0"/>
          </a:srgbClr>
        </a:solidFill>
        <a:ln>
          <a:noFill/>
        </a:ln>
        <a:effectLst/>
      </dgm:spPr>
      <dgm:t>
        <a:bodyPr/>
        <a:lstStyle/>
        <a:p>
          <a:endParaRPr lang="en-AU"/>
        </a:p>
      </dgm:t>
    </dgm:pt>
    <dgm:pt modelId="{42F9A7C3-989A-4205-9C8C-F66ECB316772}" type="pres">
      <dgm:prSet presAssocID="{BEA4836F-D2B6-4614-8A58-49FA37ED81F5}" presName="rect1" presStyleLbl="node1" presStyleIdx="0" presStyleCnt="4">
        <dgm:presLayoutVars>
          <dgm:chMax val="0"/>
          <dgm:chPref val="0"/>
          <dgm:bulletEnabled val="1"/>
        </dgm:presLayoutVars>
      </dgm:prSet>
      <dgm:spPr>
        <a:prstGeom prst="roundRect">
          <a:avLst/>
        </a:prstGeom>
      </dgm:spPr>
      <dgm:t>
        <a:bodyPr/>
        <a:lstStyle/>
        <a:p>
          <a:endParaRPr lang="en-AU"/>
        </a:p>
      </dgm:t>
    </dgm:pt>
    <dgm:pt modelId="{3698C660-DE36-4A6C-8643-528A3F124CBA}" type="pres">
      <dgm:prSet presAssocID="{BEA4836F-D2B6-4614-8A58-49FA37ED81F5}" presName="rect2" presStyleLbl="node1" presStyleIdx="1" presStyleCnt="4">
        <dgm:presLayoutVars>
          <dgm:chMax val="0"/>
          <dgm:chPref val="0"/>
          <dgm:bulletEnabled val="1"/>
        </dgm:presLayoutVars>
      </dgm:prSet>
      <dgm:spPr>
        <a:prstGeom prst="roundRect">
          <a:avLst/>
        </a:prstGeom>
      </dgm:spPr>
      <dgm:t>
        <a:bodyPr/>
        <a:lstStyle/>
        <a:p>
          <a:endParaRPr lang="en-AU"/>
        </a:p>
      </dgm:t>
    </dgm:pt>
    <dgm:pt modelId="{BCDEC2D8-CD24-4842-8A4B-DDA50CD97B82}" type="pres">
      <dgm:prSet presAssocID="{BEA4836F-D2B6-4614-8A58-49FA37ED81F5}" presName="rect3" presStyleLbl="node1" presStyleIdx="2" presStyleCnt="4">
        <dgm:presLayoutVars>
          <dgm:chMax val="0"/>
          <dgm:chPref val="0"/>
          <dgm:bulletEnabled val="1"/>
        </dgm:presLayoutVars>
      </dgm:prSet>
      <dgm:spPr>
        <a:prstGeom prst="roundRect">
          <a:avLst/>
        </a:prstGeom>
      </dgm:spPr>
      <dgm:t>
        <a:bodyPr/>
        <a:lstStyle/>
        <a:p>
          <a:endParaRPr lang="en-AU"/>
        </a:p>
      </dgm:t>
    </dgm:pt>
    <dgm:pt modelId="{88203743-D048-4EF2-ADA8-AD2773FB5065}" type="pres">
      <dgm:prSet presAssocID="{BEA4836F-D2B6-4614-8A58-49FA37ED81F5}" presName="rect4" presStyleLbl="node1" presStyleIdx="3" presStyleCnt="4">
        <dgm:presLayoutVars>
          <dgm:chMax val="0"/>
          <dgm:chPref val="0"/>
          <dgm:bulletEnabled val="1"/>
        </dgm:presLayoutVars>
      </dgm:prSet>
      <dgm:spPr>
        <a:prstGeom prst="roundRect">
          <a:avLst/>
        </a:prstGeom>
      </dgm:spPr>
      <dgm:t>
        <a:bodyPr/>
        <a:lstStyle/>
        <a:p>
          <a:endParaRPr lang="en-AU"/>
        </a:p>
      </dgm:t>
    </dgm:pt>
  </dgm:ptLst>
  <dgm:cxnLst>
    <dgm:cxn modelId="{A57861BF-CDD3-47C3-9039-C08961858D6C}" srcId="{BEA4836F-D2B6-4614-8A58-49FA37ED81F5}" destId="{FBF9973C-9B42-463C-B775-84F4905B4279}" srcOrd="3" destOrd="0" parTransId="{83CF88AF-5A03-4735-A230-80CE1B471D8C}" sibTransId="{842F78C4-F122-44B1-9C7E-8206C7A4A85E}"/>
    <dgm:cxn modelId="{EF4B5463-4D51-4E72-9429-24719445454E}" type="presOf" srcId="{BEA4836F-D2B6-4614-8A58-49FA37ED81F5}" destId="{ED23903E-1A7C-459B-B9B4-B96EFB725F9A}" srcOrd="0" destOrd="0" presId="urn:microsoft.com/office/officeart/2005/8/layout/matrix2"/>
    <dgm:cxn modelId="{A414BD16-1C7B-4E29-AB46-3F7A567B5B6F}" srcId="{BEA4836F-D2B6-4614-8A58-49FA37ED81F5}" destId="{BD696B31-71A8-4B5F-8433-C6049861A8DA}" srcOrd="0" destOrd="0" parTransId="{D35909E1-7BE8-4466-A309-DA209D8687AC}" sibTransId="{8D9F90ED-FA3F-4EB7-ADD5-159E9E3BA2E5}"/>
    <dgm:cxn modelId="{7E72711B-4A85-456F-A9F8-E9C793B4E4DB}" type="presOf" srcId="{BD696B31-71A8-4B5F-8433-C6049861A8DA}" destId="{42F9A7C3-989A-4205-9C8C-F66ECB316772}" srcOrd="0" destOrd="0" presId="urn:microsoft.com/office/officeart/2005/8/layout/matrix2"/>
    <dgm:cxn modelId="{3D78A191-1645-4BBB-92C4-E89AEA2EA84C}" srcId="{BEA4836F-D2B6-4614-8A58-49FA37ED81F5}" destId="{F15E7B82-AD68-40CA-9F4B-548BA22F8347}" srcOrd="1" destOrd="0" parTransId="{3EE86170-3B56-4F49-A8FE-3911A81D26F2}" sibTransId="{AFFEE11E-7262-4862-AB37-943126C0588A}"/>
    <dgm:cxn modelId="{8883D2D2-49E1-4F0D-A19E-4B3DD3915956}" type="presOf" srcId="{FBF9973C-9B42-463C-B775-84F4905B4279}" destId="{88203743-D048-4EF2-ADA8-AD2773FB5065}" srcOrd="0" destOrd="0" presId="urn:microsoft.com/office/officeart/2005/8/layout/matrix2"/>
    <dgm:cxn modelId="{53A10399-2402-4DEA-82B8-A153BE9827ED}" type="presOf" srcId="{41035BEC-8D38-404D-80F5-81B2ADF2FE89}" destId="{BCDEC2D8-CD24-4842-8A4B-DDA50CD97B82}" srcOrd="0" destOrd="0" presId="urn:microsoft.com/office/officeart/2005/8/layout/matrix2"/>
    <dgm:cxn modelId="{5BEF6FF0-60C6-47DB-A65E-94056AE002E2}" srcId="{BEA4836F-D2B6-4614-8A58-49FA37ED81F5}" destId="{41035BEC-8D38-404D-80F5-81B2ADF2FE89}" srcOrd="2" destOrd="0" parTransId="{AB5C8127-6A91-4572-8558-BABD5F590CF6}" sibTransId="{79579F05-FD9B-4386-88F7-D2F8503EEA8F}"/>
    <dgm:cxn modelId="{B12BFF6E-0E99-41CE-BE61-172784D5C84E}" type="presOf" srcId="{F15E7B82-AD68-40CA-9F4B-548BA22F8347}" destId="{3698C660-DE36-4A6C-8643-528A3F124CBA}" srcOrd="0" destOrd="0" presId="urn:microsoft.com/office/officeart/2005/8/layout/matrix2"/>
    <dgm:cxn modelId="{701D7C4D-9F76-4F4F-830F-10786E9A8133}" type="presParOf" srcId="{ED23903E-1A7C-459B-B9B4-B96EFB725F9A}" destId="{1B9692C0-C201-424C-9D57-205AAF94300F}" srcOrd="0" destOrd="0" presId="urn:microsoft.com/office/officeart/2005/8/layout/matrix2"/>
    <dgm:cxn modelId="{2007DA44-AC5C-4B09-89F2-7CD74615293D}" type="presParOf" srcId="{ED23903E-1A7C-459B-B9B4-B96EFB725F9A}" destId="{42F9A7C3-989A-4205-9C8C-F66ECB316772}" srcOrd="1" destOrd="0" presId="urn:microsoft.com/office/officeart/2005/8/layout/matrix2"/>
    <dgm:cxn modelId="{1F9FA32D-C29E-4164-BB47-18FE9C631E2C}" type="presParOf" srcId="{ED23903E-1A7C-459B-B9B4-B96EFB725F9A}" destId="{3698C660-DE36-4A6C-8643-528A3F124CBA}" srcOrd="2" destOrd="0" presId="urn:microsoft.com/office/officeart/2005/8/layout/matrix2"/>
    <dgm:cxn modelId="{DD47B41C-7664-4977-807C-631528FEAFAD}" type="presParOf" srcId="{ED23903E-1A7C-459B-B9B4-B96EFB725F9A}" destId="{BCDEC2D8-CD24-4842-8A4B-DDA50CD97B82}" srcOrd="3" destOrd="0" presId="urn:microsoft.com/office/officeart/2005/8/layout/matrix2"/>
    <dgm:cxn modelId="{2ED371BF-6B1B-43BC-BB10-A9FD4E0D9EAE}" type="presParOf" srcId="{ED23903E-1A7C-459B-B9B4-B96EFB725F9A}" destId="{88203743-D048-4EF2-ADA8-AD2773FB5065}" srcOrd="4" destOrd="0" presId="urn:microsoft.com/office/officeart/2005/8/layout/matrix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A4836F-D2B6-4614-8A58-49FA37ED81F5}"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AU"/>
        </a:p>
      </dgm:t>
    </dgm:pt>
    <dgm:pt modelId="{BD696B31-71A8-4B5F-8433-C6049861A8DA}">
      <dgm:prSet phldrT="[Text]" custT="1"/>
      <dgm:spPr>
        <a:xfrm>
          <a:off x="1351026" y="208026"/>
          <a:ext cx="1280160" cy="1280160"/>
        </a:xfrm>
        <a:solidFill>
          <a:srgbClr val="10C110"/>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More costly, less impact</a:t>
          </a:r>
        </a:p>
      </dgm:t>
    </dgm:pt>
    <dgm:pt modelId="{D35909E1-7BE8-4466-A309-DA209D8687AC}" type="parTrans" cxnId="{A414BD16-1C7B-4E29-AB46-3F7A567B5B6F}">
      <dgm:prSet/>
      <dgm:spPr/>
      <dgm:t>
        <a:bodyPr/>
        <a:lstStyle/>
        <a:p>
          <a:endParaRPr lang="en-AU"/>
        </a:p>
      </dgm:t>
    </dgm:pt>
    <dgm:pt modelId="{8D9F90ED-FA3F-4EB7-ADD5-159E9E3BA2E5}" type="sibTrans" cxnId="{A414BD16-1C7B-4E29-AB46-3F7A567B5B6F}">
      <dgm:prSet/>
      <dgm:spPr/>
      <dgm:t>
        <a:bodyPr/>
        <a:lstStyle/>
        <a:p>
          <a:endParaRPr lang="en-AU"/>
        </a:p>
      </dgm:t>
    </dgm:pt>
    <dgm:pt modelId="{F15E7B82-AD68-40CA-9F4B-548BA22F8347}">
      <dgm:prSet phldrT="[Text]" custT="1"/>
      <dgm:spPr>
        <a:xfrm>
          <a:off x="2855214" y="208026"/>
          <a:ext cx="1280160" cy="1280160"/>
        </a:xfrm>
        <a:solidFill>
          <a:srgbClr val="B01EE6"/>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More costly, more impact</a:t>
          </a:r>
        </a:p>
      </dgm:t>
    </dgm:pt>
    <dgm:pt modelId="{3EE86170-3B56-4F49-A8FE-3911A81D26F2}" type="parTrans" cxnId="{3D78A191-1645-4BBB-92C4-E89AEA2EA84C}">
      <dgm:prSet/>
      <dgm:spPr/>
      <dgm:t>
        <a:bodyPr/>
        <a:lstStyle/>
        <a:p>
          <a:endParaRPr lang="en-AU"/>
        </a:p>
      </dgm:t>
    </dgm:pt>
    <dgm:pt modelId="{AFFEE11E-7262-4862-AB37-943126C0588A}" type="sibTrans" cxnId="{3D78A191-1645-4BBB-92C4-E89AEA2EA84C}">
      <dgm:prSet/>
      <dgm:spPr/>
      <dgm:t>
        <a:bodyPr/>
        <a:lstStyle/>
        <a:p>
          <a:endParaRPr lang="en-AU"/>
        </a:p>
      </dgm:t>
    </dgm:pt>
    <dgm:pt modelId="{41035BEC-8D38-404D-80F5-81B2ADF2FE89}">
      <dgm:prSet phldrT="[Text]" custT="1"/>
      <dgm:spPr>
        <a:xfrm>
          <a:off x="1351026" y="1712214"/>
          <a:ext cx="1280160" cy="1280160"/>
        </a:xfrm>
        <a:solidFill>
          <a:srgbClr val="FF7F00"/>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Less costly, less impact</a:t>
          </a:r>
        </a:p>
      </dgm:t>
    </dgm:pt>
    <dgm:pt modelId="{AB5C8127-6A91-4572-8558-BABD5F590CF6}" type="parTrans" cxnId="{5BEF6FF0-60C6-47DB-A65E-94056AE002E2}">
      <dgm:prSet/>
      <dgm:spPr/>
      <dgm:t>
        <a:bodyPr/>
        <a:lstStyle/>
        <a:p>
          <a:endParaRPr lang="en-AU"/>
        </a:p>
      </dgm:t>
    </dgm:pt>
    <dgm:pt modelId="{79579F05-FD9B-4386-88F7-D2F8503EEA8F}" type="sibTrans" cxnId="{5BEF6FF0-60C6-47DB-A65E-94056AE002E2}">
      <dgm:prSet/>
      <dgm:spPr/>
      <dgm:t>
        <a:bodyPr/>
        <a:lstStyle/>
        <a:p>
          <a:endParaRPr lang="en-AU"/>
        </a:p>
      </dgm:t>
    </dgm:pt>
    <dgm:pt modelId="{FBF9973C-9B42-463C-B775-84F4905B4279}">
      <dgm:prSet phldrT="[Text]" custT="1"/>
      <dgm:spPr>
        <a:xfrm>
          <a:off x="2855214" y="1712214"/>
          <a:ext cx="1280160" cy="1280160"/>
        </a:xfrm>
        <a:solidFill>
          <a:srgbClr val="00B2E3"/>
        </a:solidFill>
        <a:ln w="25400" cap="flat" cmpd="sng" algn="ctr">
          <a:solidFill>
            <a:sysClr val="window" lastClr="FFFFFF">
              <a:hueOff val="0"/>
              <a:satOff val="0"/>
              <a:lumOff val="0"/>
              <a:alphaOff val="0"/>
            </a:sysClr>
          </a:solidFill>
          <a:prstDash val="solid"/>
        </a:ln>
        <a:effectLst/>
      </dgm:spPr>
      <dgm:t>
        <a:bodyPr/>
        <a:lstStyle/>
        <a:p>
          <a:r>
            <a:rPr lang="en-AU" sz="1050">
              <a:solidFill>
                <a:sysClr val="window" lastClr="FFFFFF"/>
              </a:solidFill>
              <a:latin typeface="Arial" panose="020B0604020202020204" pitchFamily="34" charset="0"/>
              <a:ea typeface="+mn-ea"/>
              <a:cs typeface="Arial" panose="020B0604020202020204" pitchFamily="34" charset="0"/>
            </a:rPr>
            <a:t>Less costly, more impact</a:t>
          </a:r>
        </a:p>
      </dgm:t>
    </dgm:pt>
    <dgm:pt modelId="{83CF88AF-5A03-4735-A230-80CE1B471D8C}" type="parTrans" cxnId="{A57861BF-CDD3-47C3-9039-C08961858D6C}">
      <dgm:prSet/>
      <dgm:spPr/>
      <dgm:t>
        <a:bodyPr/>
        <a:lstStyle/>
        <a:p>
          <a:endParaRPr lang="en-AU"/>
        </a:p>
      </dgm:t>
    </dgm:pt>
    <dgm:pt modelId="{842F78C4-F122-44B1-9C7E-8206C7A4A85E}" type="sibTrans" cxnId="{A57861BF-CDD3-47C3-9039-C08961858D6C}">
      <dgm:prSet/>
      <dgm:spPr/>
      <dgm:t>
        <a:bodyPr/>
        <a:lstStyle/>
        <a:p>
          <a:endParaRPr lang="en-AU"/>
        </a:p>
      </dgm:t>
    </dgm:pt>
    <dgm:pt modelId="{ED23903E-1A7C-459B-B9B4-B96EFB725F9A}" type="pres">
      <dgm:prSet presAssocID="{BEA4836F-D2B6-4614-8A58-49FA37ED81F5}" presName="matrix" presStyleCnt="0">
        <dgm:presLayoutVars>
          <dgm:chMax val="1"/>
          <dgm:dir/>
          <dgm:resizeHandles val="exact"/>
        </dgm:presLayoutVars>
      </dgm:prSet>
      <dgm:spPr/>
      <dgm:t>
        <a:bodyPr/>
        <a:lstStyle/>
        <a:p>
          <a:endParaRPr lang="en-AU"/>
        </a:p>
      </dgm:t>
    </dgm:pt>
    <dgm:pt modelId="{1B9692C0-C201-424C-9D57-205AAF94300F}" type="pres">
      <dgm:prSet presAssocID="{BEA4836F-D2B6-4614-8A58-49FA37ED81F5}" presName="axisShape" presStyleLbl="bgShp" presStyleIdx="0" presStyleCnt="1"/>
      <dgm:spPr>
        <a:xfrm>
          <a:off x="1143000" y="0"/>
          <a:ext cx="3200400" cy="3200400"/>
        </a:xfrm>
        <a:prstGeom prst="quadArrow">
          <a:avLst>
            <a:gd name="adj1" fmla="val 2000"/>
            <a:gd name="adj2" fmla="val 4000"/>
            <a:gd name="adj3" fmla="val 5000"/>
          </a:avLst>
        </a:prstGeom>
        <a:solidFill>
          <a:srgbClr val="4F81BD">
            <a:tint val="40000"/>
            <a:hueOff val="0"/>
            <a:satOff val="0"/>
            <a:lumOff val="0"/>
            <a:alphaOff val="0"/>
          </a:srgbClr>
        </a:solidFill>
        <a:ln>
          <a:noFill/>
        </a:ln>
        <a:effectLst/>
      </dgm:spPr>
      <dgm:t>
        <a:bodyPr/>
        <a:lstStyle/>
        <a:p>
          <a:endParaRPr lang="en-AU"/>
        </a:p>
      </dgm:t>
    </dgm:pt>
    <dgm:pt modelId="{42F9A7C3-989A-4205-9C8C-F66ECB316772}" type="pres">
      <dgm:prSet presAssocID="{BEA4836F-D2B6-4614-8A58-49FA37ED81F5}" presName="rect1" presStyleLbl="node1" presStyleIdx="0" presStyleCnt="4">
        <dgm:presLayoutVars>
          <dgm:chMax val="0"/>
          <dgm:chPref val="0"/>
          <dgm:bulletEnabled val="1"/>
        </dgm:presLayoutVars>
      </dgm:prSet>
      <dgm:spPr>
        <a:prstGeom prst="roundRect">
          <a:avLst/>
        </a:prstGeom>
      </dgm:spPr>
      <dgm:t>
        <a:bodyPr/>
        <a:lstStyle/>
        <a:p>
          <a:endParaRPr lang="en-AU"/>
        </a:p>
      </dgm:t>
    </dgm:pt>
    <dgm:pt modelId="{3698C660-DE36-4A6C-8643-528A3F124CBA}" type="pres">
      <dgm:prSet presAssocID="{BEA4836F-D2B6-4614-8A58-49FA37ED81F5}" presName="rect2" presStyleLbl="node1" presStyleIdx="1" presStyleCnt="4">
        <dgm:presLayoutVars>
          <dgm:chMax val="0"/>
          <dgm:chPref val="0"/>
          <dgm:bulletEnabled val="1"/>
        </dgm:presLayoutVars>
      </dgm:prSet>
      <dgm:spPr>
        <a:prstGeom prst="roundRect">
          <a:avLst/>
        </a:prstGeom>
      </dgm:spPr>
      <dgm:t>
        <a:bodyPr/>
        <a:lstStyle/>
        <a:p>
          <a:endParaRPr lang="en-AU"/>
        </a:p>
      </dgm:t>
    </dgm:pt>
    <dgm:pt modelId="{BCDEC2D8-CD24-4842-8A4B-DDA50CD97B82}" type="pres">
      <dgm:prSet presAssocID="{BEA4836F-D2B6-4614-8A58-49FA37ED81F5}" presName="rect3" presStyleLbl="node1" presStyleIdx="2" presStyleCnt="4">
        <dgm:presLayoutVars>
          <dgm:chMax val="0"/>
          <dgm:chPref val="0"/>
          <dgm:bulletEnabled val="1"/>
        </dgm:presLayoutVars>
      </dgm:prSet>
      <dgm:spPr>
        <a:prstGeom prst="roundRect">
          <a:avLst/>
        </a:prstGeom>
      </dgm:spPr>
      <dgm:t>
        <a:bodyPr/>
        <a:lstStyle/>
        <a:p>
          <a:endParaRPr lang="en-AU"/>
        </a:p>
      </dgm:t>
    </dgm:pt>
    <dgm:pt modelId="{88203743-D048-4EF2-ADA8-AD2773FB5065}" type="pres">
      <dgm:prSet presAssocID="{BEA4836F-D2B6-4614-8A58-49FA37ED81F5}" presName="rect4" presStyleLbl="node1" presStyleIdx="3" presStyleCnt="4">
        <dgm:presLayoutVars>
          <dgm:chMax val="0"/>
          <dgm:chPref val="0"/>
          <dgm:bulletEnabled val="1"/>
        </dgm:presLayoutVars>
      </dgm:prSet>
      <dgm:spPr>
        <a:prstGeom prst="roundRect">
          <a:avLst/>
        </a:prstGeom>
      </dgm:spPr>
      <dgm:t>
        <a:bodyPr/>
        <a:lstStyle/>
        <a:p>
          <a:endParaRPr lang="en-AU"/>
        </a:p>
      </dgm:t>
    </dgm:pt>
  </dgm:ptLst>
  <dgm:cxnLst>
    <dgm:cxn modelId="{A57861BF-CDD3-47C3-9039-C08961858D6C}" srcId="{BEA4836F-D2B6-4614-8A58-49FA37ED81F5}" destId="{FBF9973C-9B42-463C-B775-84F4905B4279}" srcOrd="3" destOrd="0" parTransId="{83CF88AF-5A03-4735-A230-80CE1B471D8C}" sibTransId="{842F78C4-F122-44B1-9C7E-8206C7A4A85E}"/>
    <dgm:cxn modelId="{EF4B5463-4D51-4E72-9429-24719445454E}" type="presOf" srcId="{BEA4836F-D2B6-4614-8A58-49FA37ED81F5}" destId="{ED23903E-1A7C-459B-B9B4-B96EFB725F9A}" srcOrd="0" destOrd="0" presId="urn:microsoft.com/office/officeart/2005/8/layout/matrix2"/>
    <dgm:cxn modelId="{A414BD16-1C7B-4E29-AB46-3F7A567B5B6F}" srcId="{BEA4836F-D2B6-4614-8A58-49FA37ED81F5}" destId="{BD696B31-71A8-4B5F-8433-C6049861A8DA}" srcOrd="0" destOrd="0" parTransId="{D35909E1-7BE8-4466-A309-DA209D8687AC}" sibTransId="{8D9F90ED-FA3F-4EB7-ADD5-159E9E3BA2E5}"/>
    <dgm:cxn modelId="{7E72711B-4A85-456F-A9F8-E9C793B4E4DB}" type="presOf" srcId="{BD696B31-71A8-4B5F-8433-C6049861A8DA}" destId="{42F9A7C3-989A-4205-9C8C-F66ECB316772}" srcOrd="0" destOrd="0" presId="urn:microsoft.com/office/officeart/2005/8/layout/matrix2"/>
    <dgm:cxn modelId="{3D78A191-1645-4BBB-92C4-E89AEA2EA84C}" srcId="{BEA4836F-D2B6-4614-8A58-49FA37ED81F5}" destId="{F15E7B82-AD68-40CA-9F4B-548BA22F8347}" srcOrd="1" destOrd="0" parTransId="{3EE86170-3B56-4F49-A8FE-3911A81D26F2}" sibTransId="{AFFEE11E-7262-4862-AB37-943126C0588A}"/>
    <dgm:cxn modelId="{8883D2D2-49E1-4F0D-A19E-4B3DD3915956}" type="presOf" srcId="{FBF9973C-9B42-463C-B775-84F4905B4279}" destId="{88203743-D048-4EF2-ADA8-AD2773FB5065}" srcOrd="0" destOrd="0" presId="urn:microsoft.com/office/officeart/2005/8/layout/matrix2"/>
    <dgm:cxn modelId="{53A10399-2402-4DEA-82B8-A153BE9827ED}" type="presOf" srcId="{41035BEC-8D38-404D-80F5-81B2ADF2FE89}" destId="{BCDEC2D8-CD24-4842-8A4B-DDA50CD97B82}" srcOrd="0" destOrd="0" presId="urn:microsoft.com/office/officeart/2005/8/layout/matrix2"/>
    <dgm:cxn modelId="{5BEF6FF0-60C6-47DB-A65E-94056AE002E2}" srcId="{BEA4836F-D2B6-4614-8A58-49FA37ED81F5}" destId="{41035BEC-8D38-404D-80F5-81B2ADF2FE89}" srcOrd="2" destOrd="0" parTransId="{AB5C8127-6A91-4572-8558-BABD5F590CF6}" sibTransId="{79579F05-FD9B-4386-88F7-D2F8503EEA8F}"/>
    <dgm:cxn modelId="{B12BFF6E-0E99-41CE-BE61-172784D5C84E}" type="presOf" srcId="{F15E7B82-AD68-40CA-9F4B-548BA22F8347}" destId="{3698C660-DE36-4A6C-8643-528A3F124CBA}" srcOrd="0" destOrd="0" presId="urn:microsoft.com/office/officeart/2005/8/layout/matrix2"/>
    <dgm:cxn modelId="{701D7C4D-9F76-4F4F-830F-10786E9A8133}" type="presParOf" srcId="{ED23903E-1A7C-459B-B9B4-B96EFB725F9A}" destId="{1B9692C0-C201-424C-9D57-205AAF94300F}" srcOrd="0" destOrd="0" presId="urn:microsoft.com/office/officeart/2005/8/layout/matrix2"/>
    <dgm:cxn modelId="{2007DA44-AC5C-4B09-89F2-7CD74615293D}" type="presParOf" srcId="{ED23903E-1A7C-459B-B9B4-B96EFB725F9A}" destId="{42F9A7C3-989A-4205-9C8C-F66ECB316772}" srcOrd="1" destOrd="0" presId="urn:microsoft.com/office/officeart/2005/8/layout/matrix2"/>
    <dgm:cxn modelId="{1F9FA32D-C29E-4164-BB47-18FE9C631E2C}" type="presParOf" srcId="{ED23903E-1A7C-459B-B9B4-B96EFB725F9A}" destId="{3698C660-DE36-4A6C-8643-528A3F124CBA}" srcOrd="2" destOrd="0" presId="urn:microsoft.com/office/officeart/2005/8/layout/matrix2"/>
    <dgm:cxn modelId="{DD47B41C-7664-4977-807C-631528FEAFAD}" type="presParOf" srcId="{ED23903E-1A7C-459B-B9B4-B96EFB725F9A}" destId="{BCDEC2D8-CD24-4842-8A4B-DDA50CD97B82}" srcOrd="3" destOrd="0" presId="urn:microsoft.com/office/officeart/2005/8/layout/matrix2"/>
    <dgm:cxn modelId="{2ED371BF-6B1B-43BC-BB10-A9FD4E0D9EAE}" type="presParOf" srcId="{ED23903E-1A7C-459B-B9B4-B96EFB725F9A}" destId="{88203743-D048-4EF2-ADA8-AD2773FB5065}" srcOrd="4" destOrd="0" presId="urn:microsoft.com/office/officeart/2005/8/layout/matrix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692C0-C201-424C-9D57-205AAF94300F}">
      <dsp:nvSpPr>
        <dsp:cNvPr id="0" name=""/>
        <dsp:cNvSpPr/>
      </dsp:nvSpPr>
      <dsp:spPr>
        <a:xfrm>
          <a:off x="364702" y="0"/>
          <a:ext cx="1908083" cy="1908083"/>
        </a:xfrm>
        <a:prstGeom prst="quadArrow">
          <a:avLst>
            <a:gd name="adj1" fmla="val 2000"/>
            <a:gd name="adj2" fmla="val 4000"/>
            <a:gd name="adj3" fmla="val 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2F9A7C3-989A-4205-9C8C-F66ECB316772}">
      <dsp:nvSpPr>
        <dsp:cNvPr id="0" name=""/>
        <dsp:cNvSpPr/>
      </dsp:nvSpPr>
      <dsp:spPr>
        <a:xfrm>
          <a:off x="488727" y="124025"/>
          <a:ext cx="763233" cy="763233"/>
        </a:xfrm>
        <a:prstGeom prst="roundRect">
          <a:avLst/>
        </a:prstGeom>
        <a:solidFill>
          <a:srgbClr val="10C11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Arial" panose="020B0604020202020204" pitchFamily="34" charset="0"/>
              <a:ea typeface="+mn-ea"/>
              <a:cs typeface="Arial" panose="020B0604020202020204" pitchFamily="34" charset="0"/>
            </a:rPr>
            <a:t>More costly, less impact</a:t>
          </a:r>
        </a:p>
      </dsp:txBody>
      <dsp:txXfrm>
        <a:off x="525985" y="161283"/>
        <a:ext cx="688717" cy="688717"/>
      </dsp:txXfrm>
    </dsp:sp>
    <dsp:sp modelId="{3698C660-DE36-4A6C-8643-528A3F124CBA}">
      <dsp:nvSpPr>
        <dsp:cNvPr id="0" name=""/>
        <dsp:cNvSpPr/>
      </dsp:nvSpPr>
      <dsp:spPr>
        <a:xfrm>
          <a:off x="1385527" y="124025"/>
          <a:ext cx="763233" cy="763233"/>
        </a:xfrm>
        <a:prstGeom prst="roundRect">
          <a:avLst/>
        </a:prstGeom>
        <a:solidFill>
          <a:srgbClr val="B01EE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Arial" panose="020B0604020202020204" pitchFamily="34" charset="0"/>
              <a:ea typeface="+mn-ea"/>
              <a:cs typeface="Arial" panose="020B0604020202020204" pitchFamily="34" charset="0"/>
            </a:rPr>
            <a:t>More costly, more impact</a:t>
          </a:r>
        </a:p>
      </dsp:txBody>
      <dsp:txXfrm>
        <a:off x="1422785" y="161283"/>
        <a:ext cx="688717" cy="688717"/>
      </dsp:txXfrm>
    </dsp:sp>
    <dsp:sp modelId="{BCDEC2D8-CD24-4842-8A4B-DDA50CD97B82}">
      <dsp:nvSpPr>
        <dsp:cNvPr id="0" name=""/>
        <dsp:cNvSpPr/>
      </dsp:nvSpPr>
      <dsp:spPr>
        <a:xfrm>
          <a:off x="488727" y="1020824"/>
          <a:ext cx="763233" cy="763233"/>
        </a:xfrm>
        <a:prstGeom prst="roundRect">
          <a:avLst/>
        </a:prstGeom>
        <a:solidFill>
          <a:srgbClr val="FF7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Arial" panose="020B0604020202020204" pitchFamily="34" charset="0"/>
              <a:ea typeface="+mn-ea"/>
              <a:cs typeface="Arial" panose="020B0604020202020204" pitchFamily="34" charset="0"/>
            </a:rPr>
            <a:t>Less costly, less impact</a:t>
          </a:r>
        </a:p>
      </dsp:txBody>
      <dsp:txXfrm>
        <a:off x="525985" y="1058082"/>
        <a:ext cx="688717" cy="688717"/>
      </dsp:txXfrm>
    </dsp:sp>
    <dsp:sp modelId="{88203743-D048-4EF2-ADA8-AD2773FB5065}">
      <dsp:nvSpPr>
        <dsp:cNvPr id="0" name=""/>
        <dsp:cNvSpPr/>
      </dsp:nvSpPr>
      <dsp:spPr>
        <a:xfrm>
          <a:off x="1385527" y="1020824"/>
          <a:ext cx="763233" cy="763233"/>
        </a:xfrm>
        <a:prstGeom prst="roundRect">
          <a:avLst/>
        </a:prstGeom>
        <a:solidFill>
          <a:srgbClr val="00B2E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Arial" panose="020B0604020202020204" pitchFamily="34" charset="0"/>
              <a:ea typeface="+mn-ea"/>
              <a:cs typeface="Arial" panose="020B0604020202020204" pitchFamily="34" charset="0"/>
            </a:rPr>
            <a:t>Less costly, more impact</a:t>
          </a:r>
        </a:p>
      </dsp:txBody>
      <dsp:txXfrm>
        <a:off x="1422785" y="1058082"/>
        <a:ext cx="688717" cy="688717"/>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AA7C53C33E6D4DAD324E66B79E4959" ma:contentTypeVersion="1" ma:contentTypeDescription="Create a new document." ma:contentTypeScope="" ma:versionID="9d1ae5ead265ae5ad252fa212f1e24b0">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FB411B43-405B-40AD-BD49-9F22436123BB}"/>
</file>

<file path=customXml/itemProps2.xml><?xml version="1.0" encoding="utf-8"?>
<ds:datastoreItem xmlns:ds="http://schemas.openxmlformats.org/officeDocument/2006/customXml" ds:itemID="{95FDB5A2-EC85-4FE9-ABC4-0762D318E177}"/>
</file>

<file path=customXml/itemProps3.xml><?xml version="1.0" encoding="utf-8"?>
<ds:datastoreItem xmlns:ds="http://schemas.openxmlformats.org/officeDocument/2006/customXml" ds:itemID="{ED0B7322-969C-4E6C-B39F-E61226661215}"/>
</file>

<file path=customXml/itemProps4.xml><?xml version="1.0" encoding="utf-8"?>
<ds:datastoreItem xmlns:ds="http://schemas.openxmlformats.org/officeDocument/2006/customXml" ds:itemID="{9C2D75CD-0765-4F02-A679-89AA722BF445}"/>
</file>

<file path=docProps/app.xml><?xml version="1.0" encoding="utf-8"?>
<Properties xmlns="http://schemas.openxmlformats.org/officeDocument/2006/extended-properties" xmlns:vt="http://schemas.openxmlformats.org/officeDocument/2006/docPropsVTypes">
  <Template>F4E0E8DE.dotm</Template>
  <TotalTime>220</TotalTime>
  <Pages>4</Pages>
  <Words>958</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Queensland</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Pennisi</dc:creator>
  <cp:lastModifiedBy>SPANNER, Trish</cp:lastModifiedBy>
  <cp:revision>18</cp:revision>
  <cp:lastPrinted>2016-05-03T23:50:00Z</cp:lastPrinted>
  <dcterms:created xsi:type="dcterms:W3CDTF">2017-03-13T02:23:00Z</dcterms:created>
  <dcterms:modified xsi:type="dcterms:W3CDTF">2017-06-12T00:28:00Z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0x010100C4AA7C53C33E6D4DAD324E66B79E4959</vt:lpwstr>
  </property>
</Properties>
</file>