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A0BFD" w14:textId="497CD268" w:rsidR="00CE01BA" w:rsidRDefault="00E52280" w:rsidP="007F178A">
      <w:pPr>
        <w:rPr>
          <w:sz w:val="56"/>
          <w:szCs w:val="56"/>
        </w:rPr>
      </w:pPr>
      <w:r w:rsidRPr="007F178A">
        <w:rPr>
          <w:sz w:val="56"/>
          <w:szCs w:val="56"/>
        </w:rPr>
        <w:t>Queensland State Schools Resourcing Framework</w:t>
      </w:r>
      <w:r w:rsidR="004C14EE">
        <w:rPr>
          <w:sz w:val="56"/>
          <w:szCs w:val="56"/>
        </w:rPr>
        <w:t xml:space="preserve"> Guide</w:t>
      </w:r>
    </w:p>
    <w:p w14:paraId="3CD69406" w14:textId="77777777" w:rsidR="006D5888" w:rsidRPr="009A2EEE" w:rsidRDefault="006D5888" w:rsidP="007F178A">
      <w:pPr>
        <w:rPr>
          <w:lang w:eastAsia="en-AU"/>
        </w:rPr>
      </w:pPr>
    </w:p>
    <w:p w14:paraId="2248C2C3" w14:textId="5C646BDC" w:rsidR="009A2EEE" w:rsidRDefault="009A2EEE" w:rsidP="007F178A">
      <w:pPr>
        <w:rPr>
          <w:sz w:val="24"/>
          <w:lang w:eastAsia="en-AU"/>
        </w:rPr>
      </w:pPr>
      <w:r w:rsidRPr="009A2EEE">
        <w:rPr>
          <w:sz w:val="24"/>
          <w:lang w:eastAsia="en-AU"/>
        </w:rPr>
        <w:t>School funding appropriations</w:t>
      </w:r>
    </w:p>
    <w:p w14:paraId="28E4B230" w14:textId="0CD76197" w:rsidR="009A2EEE" w:rsidRDefault="009A2EEE" w:rsidP="007F178A">
      <w:pPr>
        <w:rPr>
          <w:sz w:val="24"/>
          <w:lang w:eastAsia="en-AU"/>
        </w:rPr>
      </w:pPr>
      <w:r>
        <w:rPr>
          <w:sz w:val="24"/>
          <w:lang w:eastAsia="en-AU"/>
        </w:rPr>
        <w:t>School staffing allocations</w:t>
      </w:r>
    </w:p>
    <w:p w14:paraId="04A0FFC0" w14:textId="70A87D68" w:rsidR="00754908" w:rsidRDefault="009A2EEE" w:rsidP="009A2EEE">
      <w:pPr>
        <w:rPr>
          <w:lang w:eastAsia="en-AU"/>
        </w:rPr>
      </w:pPr>
      <w:r>
        <w:rPr>
          <w:sz w:val="24"/>
          <w:lang w:eastAsia="en-AU"/>
        </w:rPr>
        <w:t>System-provided resources</w:t>
      </w:r>
    </w:p>
    <w:p w14:paraId="2F802AEA" w14:textId="77777777" w:rsidR="00754908" w:rsidRDefault="00754908" w:rsidP="006366D7">
      <w:pPr>
        <w:rPr>
          <w:lang w:eastAsia="en-AU"/>
        </w:rPr>
      </w:pPr>
    </w:p>
    <w:p w14:paraId="416E679E" w14:textId="77777777" w:rsidR="00CE01BA" w:rsidRDefault="00CE01BA" w:rsidP="006366D7">
      <w:pPr>
        <w:rPr>
          <w:lang w:eastAsia="en-AU"/>
        </w:rPr>
      </w:pPr>
    </w:p>
    <w:p w14:paraId="1DC0041A" w14:textId="1525838B" w:rsidR="00CE01BA" w:rsidRDefault="00CE01BA" w:rsidP="006366D7">
      <w:pPr>
        <w:rPr>
          <w:sz w:val="36"/>
          <w:szCs w:val="36"/>
          <w:lang w:eastAsia="en-AU"/>
        </w:rPr>
      </w:pPr>
    </w:p>
    <w:p w14:paraId="05EA7FBA" w14:textId="77777777" w:rsidR="00573BFD" w:rsidRPr="00573BFD" w:rsidRDefault="00573BFD" w:rsidP="006366D7">
      <w:pPr>
        <w:rPr>
          <w:sz w:val="36"/>
          <w:szCs w:val="36"/>
          <w:lang w:eastAsia="en-AU"/>
        </w:rPr>
      </w:pPr>
    </w:p>
    <w:p w14:paraId="6A6A2160" w14:textId="7A33AF7B" w:rsidR="004534D5" w:rsidRPr="006366D7" w:rsidRDefault="00834D28" w:rsidP="006366D7">
      <w:pPr>
        <w:rPr>
          <w:sz w:val="36"/>
          <w:szCs w:val="36"/>
          <w:lang w:eastAsia="en-AU"/>
        </w:rPr>
      </w:pPr>
      <w:r>
        <w:rPr>
          <w:sz w:val="36"/>
          <w:szCs w:val="36"/>
          <w:lang w:eastAsia="en-AU"/>
        </w:rPr>
        <w:t>Updated</w:t>
      </w:r>
      <w:r w:rsidR="00DC391F">
        <w:rPr>
          <w:sz w:val="36"/>
          <w:szCs w:val="36"/>
          <w:lang w:eastAsia="en-AU"/>
        </w:rPr>
        <w:t xml:space="preserve"> </w:t>
      </w:r>
      <w:r w:rsidR="00D853CC">
        <w:rPr>
          <w:sz w:val="36"/>
          <w:szCs w:val="36"/>
          <w:lang w:eastAsia="en-AU"/>
        </w:rPr>
        <w:t>July 2022</w:t>
      </w:r>
    </w:p>
    <w:p w14:paraId="1C8E12CB" w14:textId="77777777" w:rsidR="00E52280" w:rsidRDefault="00E52280">
      <w:pPr>
        <w:spacing w:after="0" w:line="240" w:lineRule="auto"/>
        <w:rPr>
          <w:rFonts w:eastAsia="MS Mincho" w:cs="Arial"/>
          <w:sz w:val="52"/>
          <w:szCs w:val="80"/>
          <w:lang w:val="en-GB"/>
        </w:rPr>
      </w:pPr>
      <w:r>
        <w:br w:type="page"/>
      </w:r>
    </w:p>
    <w:p w14:paraId="2424C2A7" w14:textId="77777777" w:rsidR="00754908" w:rsidRPr="006366D7" w:rsidRDefault="00754908" w:rsidP="00754908">
      <w:pPr>
        <w:rPr>
          <w:sz w:val="52"/>
          <w:szCs w:val="52"/>
          <w:lang w:eastAsia="en-AU"/>
        </w:rPr>
      </w:pPr>
      <w:r w:rsidRPr="006366D7">
        <w:rPr>
          <w:sz w:val="52"/>
          <w:szCs w:val="52"/>
          <w:lang w:eastAsia="en-AU"/>
        </w:rPr>
        <w:lastRenderedPageBreak/>
        <w:t>Contents</w:t>
      </w:r>
    </w:p>
    <w:p w14:paraId="0390D754" w14:textId="77777777" w:rsidR="00227A00" w:rsidRDefault="00754908">
      <w:pPr>
        <w:pStyle w:val="TOC1"/>
        <w:tabs>
          <w:tab w:val="right" w:leader="dot" w:pos="7694"/>
        </w:tabs>
        <w:rPr>
          <w:rFonts w:asciiTheme="minorHAnsi" w:eastAsiaTheme="minorEastAsia" w:hAnsiTheme="minorHAnsi"/>
          <w:noProof/>
          <w:szCs w:val="22"/>
          <w:lang w:eastAsia="en-AU"/>
        </w:rPr>
      </w:pPr>
      <w:r w:rsidRPr="00227A00">
        <w:rPr>
          <w:highlight w:val="yellow"/>
          <w:lang w:eastAsia="en-AU"/>
        </w:rPr>
        <w:fldChar w:fldCharType="begin"/>
      </w:r>
      <w:r w:rsidRPr="00227A00">
        <w:rPr>
          <w:highlight w:val="yellow"/>
          <w:lang w:eastAsia="en-AU"/>
        </w:rPr>
        <w:instrText xml:space="preserve"> TOC \o "1-2" \h \z \u </w:instrText>
      </w:r>
      <w:r w:rsidRPr="00227A00">
        <w:rPr>
          <w:highlight w:val="yellow"/>
          <w:lang w:eastAsia="en-AU"/>
        </w:rPr>
        <w:fldChar w:fldCharType="separate"/>
      </w:r>
      <w:hyperlink w:anchor="_Toc15557907" w:history="1">
        <w:r w:rsidR="00227A00" w:rsidRPr="00A73917">
          <w:rPr>
            <w:rStyle w:val="Hyperlink"/>
            <w:noProof/>
          </w:rPr>
          <w:t>Introduction</w:t>
        </w:r>
        <w:r w:rsidR="00227A00">
          <w:rPr>
            <w:noProof/>
            <w:webHidden/>
          </w:rPr>
          <w:tab/>
        </w:r>
        <w:r w:rsidR="00227A00">
          <w:rPr>
            <w:noProof/>
            <w:webHidden/>
          </w:rPr>
          <w:fldChar w:fldCharType="begin"/>
        </w:r>
        <w:r w:rsidR="00227A00">
          <w:rPr>
            <w:noProof/>
            <w:webHidden/>
          </w:rPr>
          <w:instrText xml:space="preserve"> PAGEREF _Toc15557907 \h </w:instrText>
        </w:r>
        <w:r w:rsidR="00227A00">
          <w:rPr>
            <w:noProof/>
            <w:webHidden/>
          </w:rPr>
        </w:r>
        <w:r w:rsidR="00227A00">
          <w:rPr>
            <w:noProof/>
            <w:webHidden/>
          </w:rPr>
          <w:fldChar w:fldCharType="separate"/>
        </w:r>
        <w:r w:rsidR="00227A00">
          <w:rPr>
            <w:noProof/>
            <w:webHidden/>
          </w:rPr>
          <w:t>3</w:t>
        </w:r>
        <w:r w:rsidR="00227A00">
          <w:rPr>
            <w:noProof/>
            <w:webHidden/>
          </w:rPr>
          <w:fldChar w:fldCharType="end"/>
        </w:r>
      </w:hyperlink>
    </w:p>
    <w:p w14:paraId="66A1613E" w14:textId="77777777" w:rsidR="00227A00" w:rsidRDefault="00464B7E">
      <w:pPr>
        <w:pStyle w:val="TOC1"/>
        <w:tabs>
          <w:tab w:val="right" w:leader="dot" w:pos="7694"/>
        </w:tabs>
        <w:rPr>
          <w:rFonts w:asciiTheme="minorHAnsi" w:eastAsiaTheme="minorEastAsia" w:hAnsiTheme="minorHAnsi"/>
          <w:noProof/>
          <w:szCs w:val="22"/>
          <w:lang w:eastAsia="en-AU"/>
        </w:rPr>
      </w:pPr>
      <w:hyperlink w:anchor="_Toc15557908" w:history="1">
        <w:r w:rsidR="00227A00" w:rsidRPr="00A73917">
          <w:rPr>
            <w:rStyle w:val="Hyperlink"/>
            <w:noProof/>
          </w:rPr>
          <w:t>School income sources</w:t>
        </w:r>
        <w:r w:rsidR="00227A00">
          <w:rPr>
            <w:noProof/>
            <w:webHidden/>
          </w:rPr>
          <w:tab/>
        </w:r>
        <w:r w:rsidR="00227A00">
          <w:rPr>
            <w:noProof/>
            <w:webHidden/>
          </w:rPr>
          <w:fldChar w:fldCharType="begin"/>
        </w:r>
        <w:r w:rsidR="00227A00">
          <w:rPr>
            <w:noProof/>
            <w:webHidden/>
          </w:rPr>
          <w:instrText xml:space="preserve"> PAGEREF _Toc15557908 \h </w:instrText>
        </w:r>
        <w:r w:rsidR="00227A00">
          <w:rPr>
            <w:noProof/>
            <w:webHidden/>
          </w:rPr>
        </w:r>
        <w:r w:rsidR="00227A00">
          <w:rPr>
            <w:noProof/>
            <w:webHidden/>
          </w:rPr>
          <w:fldChar w:fldCharType="separate"/>
        </w:r>
        <w:r w:rsidR="00227A00">
          <w:rPr>
            <w:noProof/>
            <w:webHidden/>
          </w:rPr>
          <w:t>4</w:t>
        </w:r>
        <w:r w:rsidR="00227A00">
          <w:rPr>
            <w:noProof/>
            <w:webHidden/>
          </w:rPr>
          <w:fldChar w:fldCharType="end"/>
        </w:r>
      </w:hyperlink>
    </w:p>
    <w:p w14:paraId="581C7C69" w14:textId="77777777" w:rsidR="00227A00" w:rsidRDefault="00464B7E">
      <w:pPr>
        <w:pStyle w:val="TOC1"/>
        <w:tabs>
          <w:tab w:val="right" w:leader="dot" w:pos="7694"/>
        </w:tabs>
        <w:rPr>
          <w:rFonts w:asciiTheme="minorHAnsi" w:eastAsiaTheme="minorEastAsia" w:hAnsiTheme="minorHAnsi"/>
          <w:noProof/>
          <w:szCs w:val="22"/>
          <w:lang w:eastAsia="en-AU"/>
        </w:rPr>
      </w:pPr>
      <w:hyperlink w:anchor="_Toc15557909" w:history="1">
        <w:r w:rsidR="00227A00" w:rsidRPr="00A73917">
          <w:rPr>
            <w:rStyle w:val="Hyperlink"/>
            <w:noProof/>
          </w:rPr>
          <w:t>School resourcing framework</w:t>
        </w:r>
        <w:r w:rsidR="00227A00">
          <w:rPr>
            <w:noProof/>
            <w:webHidden/>
          </w:rPr>
          <w:tab/>
        </w:r>
        <w:r w:rsidR="00227A00">
          <w:rPr>
            <w:noProof/>
            <w:webHidden/>
          </w:rPr>
          <w:fldChar w:fldCharType="begin"/>
        </w:r>
        <w:r w:rsidR="00227A00">
          <w:rPr>
            <w:noProof/>
            <w:webHidden/>
          </w:rPr>
          <w:instrText xml:space="preserve"> PAGEREF _Toc15557909 \h </w:instrText>
        </w:r>
        <w:r w:rsidR="00227A00">
          <w:rPr>
            <w:noProof/>
            <w:webHidden/>
          </w:rPr>
        </w:r>
        <w:r w:rsidR="00227A00">
          <w:rPr>
            <w:noProof/>
            <w:webHidden/>
          </w:rPr>
          <w:fldChar w:fldCharType="separate"/>
        </w:r>
        <w:r w:rsidR="00227A00">
          <w:rPr>
            <w:noProof/>
            <w:webHidden/>
          </w:rPr>
          <w:t>5</w:t>
        </w:r>
        <w:r w:rsidR="00227A00">
          <w:rPr>
            <w:noProof/>
            <w:webHidden/>
          </w:rPr>
          <w:fldChar w:fldCharType="end"/>
        </w:r>
      </w:hyperlink>
    </w:p>
    <w:p w14:paraId="57DDAFC5" w14:textId="77777777" w:rsidR="00227A00" w:rsidRDefault="00464B7E">
      <w:pPr>
        <w:pStyle w:val="TOC1"/>
        <w:tabs>
          <w:tab w:val="right" w:leader="dot" w:pos="7694"/>
        </w:tabs>
        <w:rPr>
          <w:rFonts w:asciiTheme="minorHAnsi" w:eastAsiaTheme="minorEastAsia" w:hAnsiTheme="minorHAnsi"/>
          <w:noProof/>
          <w:szCs w:val="22"/>
          <w:lang w:eastAsia="en-AU"/>
        </w:rPr>
      </w:pPr>
      <w:hyperlink w:anchor="_Toc15557910" w:history="1">
        <w:r w:rsidR="00227A00" w:rsidRPr="00A73917">
          <w:rPr>
            <w:rStyle w:val="Hyperlink"/>
            <w:noProof/>
          </w:rPr>
          <w:t>School funding appropriations</w:t>
        </w:r>
        <w:r w:rsidR="00227A00">
          <w:rPr>
            <w:noProof/>
            <w:webHidden/>
          </w:rPr>
          <w:tab/>
        </w:r>
        <w:r w:rsidR="00227A00">
          <w:rPr>
            <w:noProof/>
            <w:webHidden/>
          </w:rPr>
          <w:fldChar w:fldCharType="begin"/>
        </w:r>
        <w:r w:rsidR="00227A00">
          <w:rPr>
            <w:noProof/>
            <w:webHidden/>
          </w:rPr>
          <w:instrText xml:space="preserve"> PAGEREF _Toc15557910 \h </w:instrText>
        </w:r>
        <w:r w:rsidR="00227A00">
          <w:rPr>
            <w:noProof/>
            <w:webHidden/>
          </w:rPr>
        </w:r>
        <w:r w:rsidR="00227A00">
          <w:rPr>
            <w:noProof/>
            <w:webHidden/>
          </w:rPr>
          <w:fldChar w:fldCharType="separate"/>
        </w:r>
        <w:r w:rsidR="00227A00">
          <w:rPr>
            <w:noProof/>
            <w:webHidden/>
          </w:rPr>
          <w:t>6</w:t>
        </w:r>
        <w:r w:rsidR="00227A00">
          <w:rPr>
            <w:noProof/>
            <w:webHidden/>
          </w:rPr>
          <w:fldChar w:fldCharType="end"/>
        </w:r>
      </w:hyperlink>
    </w:p>
    <w:p w14:paraId="6EACFA6C"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1" w:history="1">
        <w:r w:rsidR="00227A00" w:rsidRPr="00A73917">
          <w:rPr>
            <w:rStyle w:val="Hyperlink"/>
            <w:noProof/>
          </w:rPr>
          <w:t>Core appropriations</w:t>
        </w:r>
        <w:r w:rsidR="00227A00">
          <w:rPr>
            <w:noProof/>
            <w:webHidden/>
          </w:rPr>
          <w:tab/>
        </w:r>
        <w:r w:rsidR="00227A00">
          <w:rPr>
            <w:noProof/>
            <w:webHidden/>
          </w:rPr>
          <w:fldChar w:fldCharType="begin"/>
        </w:r>
        <w:r w:rsidR="00227A00">
          <w:rPr>
            <w:noProof/>
            <w:webHidden/>
          </w:rPr>
          <w:instrText xml:space="preserve"> PAGEREF _Toc15557911 \h </w:instrText>
        </w:r>
        <w:r w:rsidR="00227A00">
          <w:rPr>
            <w:noProof/>
            <w:webHidden/>
          </w:rPr>
        </w:r>
        <w:r w:rsidR="00227A00">
          <w:rPr>
            <w:noProof/>
            <w:webHidden/>
          </w:rPr>
          <w:fldChar w:fldCharType="separate"/>
        </w:r>
        <w:r w:rsidR="00227A00">
          <w:rPr>
            <w:noProof/>
            <w:webHidden/>
          </w:rPr>
          <w:t>7</w:t>
        </w:r>
        <w:r w:rsidR="00227A00">
          <w:rPr>
            <w:noProof/>
            <w:webHidden/>
          </w:rPr>
          <w:fldChar w:fldCharType="end"/>
        </w:r>
      </w:hyperlink>
    </w:p>
    <w:p w14:paraId="7D0FE39D"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2" w:history="1">
        <w:r w:rsidR="00227A00" w:rsidRPr="00A73917">
          <w:rPr>
            <w:rStyle w:val="Hyperlink"/>
            <w:noProof/>
          </w:rPr>
          <w:t>Targeted appropriations</w:t>
        </w:r>
        <w:r w:rsidR="00227A00">
          <w:rPr>
            <w:noProof/>
            <w:webHidden/>
          </w:rPr>
          <w:tab/>
        </w:r>
        <w:r w:rsidR="00227A00">
          <w:rPr>
            <w:noProof/>
            <w:webHidden/>
          </w:rPr>
          <w:fldChar w:fldCharType="begin"/>
        </w:r>
        <w:r w:rsidR="00227A00">
          <w:rPr>
            <w:noProof/>
            <w:webHidden/>
          </w:rPr>
          <w:instrText xml:space="preserve"> PAGEREF _Toc15557912 \h </w:instrText>
        </w:r>
        <w:r w:rsidR="00227A00">
          <w:rPr>
            <w:noProof/>
            <w:webHidden/>
          </w:rPr>
        </w:r>
        <w:r w:rsidR="00227A00">
          <w:rPr>
            <w:noProof/>
            <w:webHidden/>
          </w:rPr>
          <w:fldChar w:fldCharType="separate"/>
        </w:r>
        <w:r w:rsidR="00227A00">
          <w:rPr>
            <w:noProof/>
            <w:webHidden/>
          </w:rPr>
          <w:t>7</w:t>
        </w:r>
        <w:r w:rsidR="00227A00">
          <w:rPr>
            <w:noProof/>
            <w:webHidden/>
          </w:rPr>
          <w:fldChar w:fldCharType="end"/>
        </w:r>
      </w:hyperlink>
    </w:p>
    <w:p w14:paraId="659BEAE7"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3" w:history="1">
        <w:r w:rsidR="00227A00" w:rsidRPr="00A73917">
          <w:rPr>
            <w:rStyle w:val="Hyperlink"/>
            <w:noProof/>
          </w:rPr>
          <w:t>Appropriations available by application</w:t>
        </w:r>
        <w:r w:rsidR="00227A00">
          <w:rPr>
            <w:noProof/>
            <w:webHidden/>
          </w:rPr>
          <w:tab/>
        </w:r>
        <w:r w:rsidR="00227A00">
          <w:rPr>
            <w:noProof/>
            <w:webHidden/>
          </w:rPr>
          <w:fldChar w:fldCharType="begin"/>
        </w:r>
        <w:r w:rsidR="00227A00">
          <w:rPr>
            <w:noProof/>
            <w:webHidden/>
          </w:rPr>
          <w:instrText xml:space="preserve"> PAGEREF _Toc15557913 \h </w:instrText>
        </w:r>
        <w:r w:rsidR="00227A00">
          <w:rPr>
            <w:noProof/>
            <w:webHidden/>
          </w:rPr>
        </w:r>
        <w:r w:rsidR="00227A00">
          <w:rPr>
            <w:noProof/>
            <w:webHidden/>
          </w:rPr>
          <w:fldChar w:fldCharType="separate"/>
        </w:r>
        <w:r w:rsidR="00227A00">
          <w:rPr>
            <w:noProof/>
            <w:webHidden/>
          </w:rPr>
          <w:t>7</w:t>
        </w:r>
        <w:r w:rsidR="00227A00">
          <w:rPr>
            <w:noProof/>
            <w:webHidden/>
          </w:rPr>
          <w:fldChar w:fldCharType="end"/>
        </w:r>
      </w:hyperlink>
    </w:p>
    <w:p w14:paraId="298F9D46" w14:textId="77777777" w:rsidR="00227A00" w:rsidRDefault="00464B7E">
      <w:pPr>
        <w:pStyle w:val="TOC1"/>
        <w:tabs>
          <w:tab w:val="right" w:leader="dot" w:pos="7694"/>
        </w:tabs>
        <w:rPr>
          <w:rFonts w:asciiTheme="minorHAnsi" w:eastAsiaTheme="minorEastAsia" w:hAnsiTheme="minorHAnsi"/>
          <w:noProof/>
          <w:szCs w:val="22"/>
          <w:lang w:eastAsia="en-AU"/>
        </w:rPr>
      </w:pPr>
      <w:hyperlink w:anchor="_Toc15557914" w:history="1">
        <w:r w:rsidR="00227A00" w:rsidRPr="00A73917">
          <w:rPr>
            <w:rStyle w:val="Hyperlink"/>
            <w:noProof/>
          </w:rPr>
          <w:t>School staffing allocations</w:t>
        </w:r>
        <w:r w:rsidR="00227A00">
          <w:rPr>
            <w:noProof/>
            <w:webHidden/>
          </w:rPr>
          <w:tab/>
        </w:r>
        <w:r w:rsidR="00227A00">
          <w:rPr>
            <w:noProof/>
            <w:webHidden/>
          </w:rPr>
          <w:fldChar w:fldCharType="begin"/>
        </w:r>
        <w:r w:rsidR="00227A00">
          <w:rPr>
            <w:noProof/>
            <w:webHidden/>
          </w:rPr>
          <w:instrText xml:space="preserve"> PAGEREF _Toc15557914 \h </w:instrText>
        </w:r>
        <w:r w:rsidR="00227A00">
          <w:rPr>
            <w:noProof/>
            <w:webHidden/>
          </w:rPr>
        </w:r>
        <w:r w:rsidR="00227A00">
          <w:rPr>
            <w:noProof/>
            <w:webHidden/>
          </w:rPr>
          <w:fldChar w:fldCharType="separate"/>
        </w:r>
        <w:r w:rsidR="00227A00">
          <w:rPr>
            <w:noProof/>
            <w:webHidden/>
          </w:rPr>
          <w:t>8</w:t>
        </w:r>
        <w:r w:rsidR="00227A00">
          <w:rPr>
            <w:noProof/>
            <w:webHidden/>
          </w:rPr>
          <w:fldChar w:fldCharType="end"/>
        </w:r>
      </w:hyperlink>
    </w:p>
    <w:p w14:paraId="05915BDA"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5" w:history="1">
        <w:r w:rsidR="00227A00" w:rsidRPr="00A73917">
          <w:rPr>
            <w:rStyle w:val="Hyperlink"/>
            <w:noProof/>
          </w:rPr>
          <w:t>Core staffing allocations</w:t>
        </w:r>
        <w:r w:rsidR="00227A00">
          <w:rPr>
            <w:noProof/>
            <w:webHidden/>
          </w:rPr>
          <w:tab/>
        </w:r>
        <w:r w:rsidR="00227A00">
          <w:rPr>
            <w:noProof/>
            <w:webHidden/>
          </w:rPr>
          <w:fldChar w:fldCharType="begin"/>
        </w:r>
        <w:r w:rsidR="00227A00">
          <w:rPr>
            <w:noProof/>
            <w:webHidden/>
          </w:rPr>
          <w:instrText xml:space="preserve"> PAGEREF _Toc15557915 \h </w:instrText>
        </w:r>
        <w:r w:rsidR="00227A00">
          <w:rPr>
            <w:noProof/>
            <w:webHidden/>
          </w:rPr>
        </w:r>
        <w:r w:rsidR="00227A00">
          <w:rPr>
            <w:noProof/>
            <w:webHidden/>
          </w:rPr>
          <w:fldChar w:fldCharType="separate"/>
        </w:r>
        <w:r w:rsidR="00227A00">
          <w:rPr>
            <w:noProof/>
            <w:webHidden/>
          </w:rPr>
          <w:t>8</w:t>
        </w:r>
        <w:r w:rsidR="00227A00">
          <w:rPr>
            <w:noProof/>
            <w:webHidden/>
          </w:rPr>
          <w:fldChar w:fldCharType="end"/>
        </w:r>
      </w:hyperlink>
    </w:p>
    <w:p w14:paraId="347D705F"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6" w:history="1">
        <w:r w:rsidR="00227A00" w:rsidRPr="00A73917">
          <w:rPr>
            <w:rStyle w:val="Hyperlink"/>
            <w:noProof/>
          </w:rPr>
          <w:t>Targeted staffing allocations</w:t>
        </w:r>
        <w:r w:rsidR="00227A00">
          <w:rPr>
            <w:noProof/>
            <w:webHidden/>
          </w:rPr>
          <w:tab/>
        </w:r>
        <w:r w:rsidR="00227A00">
          <w:rPr>
            <w:noProof/>
            <w:webHidden/>
          </w:rPr>
          <w:fldChar w:fldCharType="begin"/>
        </w:r>
        <w:r w:rsidR="00227A00">
          <w:rPr>
            <w:noProof/>
            <w:webHidden/>
          </w:rPr>
          <w:instrText xml:space="preserve"> PAGEREF _Toc15557916 \h </w:instrText>
        </w:r>
        <w:r w:rsidR="00227A00">
          <w:rPr>
            <w:noProof/>
            <w:webHidden/>
          </w:rPr>
        </w:r>
        <w:r w:rsidR="00227A00">
          <w:rPr>
            <w:noProof/>
            <w:webHidden/>
          </w:rPr>
          <w:fldChar w:fldCharType="separate"/>
        </w:r>
        <w:r w:rsidR="00227A00">
          <w:rPr>
            <w:noProof/>
            <w:webHidden/>
          </w:rPr>
          <w:t>9</w:t>
        </w:r>
        <w:r w:rsidR="00227A00">
          <w:rPr>
            <w:noProof/>
            <w:webHidden/>
          </w:rPr>
          <w:fldChar w:fldCharType="end"/>
        </w:r>
      </w:hyperlink>
    </w:p>
    <w:p w14:paraId="4B4CAC80"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7" w:history="1">
        <w:r w:rsidR="00227A00" w:rsidRPr="00A73917">
          <w:rPr>
            <w:rStyle w:val="Hyperlink"/>
            <w:noProof/>
          </w:rPr>
          <w:t>Staffing and resources available by application</w:t>
        </w:r>
        <w:r w:rsidR="00227A00">
          <w:rPr>
            <w:noProof/>
            <w:webHidden/>
          </w:rPr>
          <w:tab/>
        </w:r>
        <w:r w:rsidR="00227A00">
          <w:rPr>
            <w:noProof/>
            <w:webHidden/>
          </w:rPr>
          <w:fldChar w:fldCharType="begin"/>
        </w:r>
        <w:r w:rsidR="00227A00">
          <w:rPr>
            <w:noProof/>
            <w:webHidden/>
          </w:rPr>
          <w:instrText xml:space="preserve"> PAGEREF _Toc15557917 \h </w:instrText>
        </w:r>
        <w:r w:rsidR="00227A00">
          <w:rPr>
            <w:noProof/>
            <w:webHidden/>
          </w:rPr>
        </w:r>
        <w:r w:rsidR="00227A00">
          <w:rPr>
            <w:noProof/>
            <w:webHidden/>
          </w:rPr>
          <w:fldChar w:fldCharType="separate"/>
        </w:r>
        <w:r w:rsidR="00227A00">
          <w:rPr>
            <w:noProof/>
            <w:webHidden/>
          </w:rPr>
          <w:t>9</w:t>
        </w:r>
        <w:r w:rsidR="00227A00">
          <w:rPr>
            <w:noProof/>
            <w:webHidden/>
          </w:rPr>
          <w:fldChar w:fldCharType="end"/>
        </w:r>
      </w:hyperlink>
    </w:p>
    <w:p w14:paraId="578288FC" w14:textId="77777777" w:rsidR="00227A00" w:rsidRDefault="00464B7E">
      <w:pPr>
        <w:pStyle w:val="TOC1"/>
        <w:tabs>
          <w:tab w:val="right" w:leader="dot" w:pos="7694"/>
        </w:tabs>
        <w:rPr>
          <w:rFonts w:asciiTheme="minorHAnsi" w:eastAsiaTheme="minorEastAsia" w:hAnsiTheme="minorHAnsi"/>
          <w:noProof/>
          <w:szCs w:val="22"/>
          <w:lang w:eastAsia="en-AU"/>
        </w:rPr>
      </w:pPr>
      <w:hyperlink w:anchor="_Toc15557918" w:history="1">
        <w:r w:rsidR="00227A00" w:rsidRPr="00A73917">
          <w:rPr>
            <w:rStyle w:val="Hyperlink"/>
            <w:noProof/>
          </w:rPr>
          <w:t>System-provided resources</w:t>
        </w:r>
        <w:r w:rsidR="00227A00">
          <w:rPr>
            <w:noProof/>
            <w:webHidden/>
          </w:rPr>
          <w:tab/>
        </w:r>
        <w:r w:rsidR="00227A00">
          <w:rPr>
            <w:noProof/>
            <w:webHidden/>
          </w:rPr>
          <w:fldChar w:fldCharType="begin"/>
        </w:r>
        <w:r w:rsidR="00227A00">
          <w:rPr>
            <w:noProof/>
            <w:webHidden/>
          </w:rPr>
          <w:instrText xml:space="preserve"> PAGEREF _Toc15557918 \h </w:instrText>
        </w:r>
        <w:r w:rsidR="00227A00">
          <w:rPr>
            <w:noProof/>
            <w:webHidden/>
          </w:rPr>
        </w:r>
        <w:r w:rsidR="00227A00">
          <w:rPr>
            <w:noProof/>
            <w:webHidden/>
          </w:rPr>
          <w:fldChar w:fldCharType="separate"/>
        </w:r>
        <w:r w:rsidR="00227A00">
          <w:rPr>
            <w:noProof/>
            <w:webHidden/>
          </w:rPr>
          <w:t>10</w:t>
        </w:r>
        <w:r w:rsidR="00227A00">
          <w:rPr>
            <w:noProof/>
            <w:webHidden/>
          </w:rPr>
          <w:fldChar w:fldCharType="end"/>
        </w:r>
      </w:hyperlink>
    </w:p>
    <w:p w14:paraId="45CE0742"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19" w:history="1">
        <w:r w:rsidR="00227A00" w:rsidRPr="00A73917">
          <w:rPr>
            <w:rStyle w:val="Hyperlink"/>
            <w:noProof/>
          </w:rPr>
          <w:t>Infrastructure</w:t>
        </w:r>
        <w:r w:rsidR="00227A00">
          <w:rPr>
            <w:noProof/>
            <w:webHidden/>
          </w:rPr>
          <w:tab/>
        </w:r>
        <w:r w:rsidR="00227A00">
          <w:rPr>
            <w:noProof/>
            <w:webHidden/>
          </w:rPr>
          <w:fldChar w:fldCharType="begin"/>
        </w:r>
        <w:r w:rsidR="00227A00">
          <w:rPr>
            <w:noProof/>
            <w:webHidden/>
          </w:rPr>
          <w:instrText xml:space="preserve"> PAGEREF _Toc15557919 \h </w:instrText>
        </w:r>
        <w:r w:rsidR="00227A00">
          <w:rPr>
            <w:noProof/>
            <w:webHidden/>
          </w:rPr>
        </w:r>
        <w:r w:rsidR="00227A00">
          <w:rPr>
            <w:noProof/>
            <w:webHidden/>
          </w:rPr>
          <w:fldChar w:fldCharType="separate"/>
        </w:r>
        <w:r w:rsidR="00227A00">
          <w:rPr>
            <w:noProof/>
            <w:webHidden/>
          </w:rPr>
          <w:t>10</w:t>
        </w:r>
        <w:r w:rsidR="00227A00">
          <w:rPr>
            <w:noProof/>
            <w:webHidden/>
          </w:rPr>
          <w:fldChar w:fldCharType="end"/>
        </w:r>
      </w:hyperlink>
    </w:p>
    <w:p w14:paraId="0BF95568"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20" w:history="1">
        <w:r w:rsidR="00227A00" w:rsidRPr="00A73917">
          <w:rPr>
            <w:rStyle w:val="Hyperlink"/>
            <w:noProof/>
          </w:rPr>
          <w:t>Information and communication technologies (ICT)</w:t>
        </w:r>
        <w:r w:rsidR="00227A00">
          <w:rPr>
            <w:noProof/>
            <w:webHidden/>
          </w:rPr>
          <w:tab/>
        </w:r>
        <w:r w:rsidR="00227A00">
          <w:rPr>
            <w:noProof/>
            <w:webHidden/>
          </w:rPr>
          <w:fldChar w:fldCharType="begin"/>
        </w:r>
        <w:r w:rsidR="00227A00">
          <w:rPr>
            <w:noProof/>
            <w:webHidden/>
          </w:rPr>
          <w:instrText xml:space="preserve"> PAGEREF _Toc15557920 \h </w:instrText>
        </w:r>
        <w:r w:rsidR="00227A00">
          <w:rPr>
            <w:noProof/>
            <w:webHidden/>
          </w:rPr>
        </w:r>
        <w:r w:rsidR="00227A00">
          <w:rPr>
            <w:noProof/>
            <w:webHidden/>
          </w:rPr>
          <w:fldChar w:fldCharType="separate"/>
        </w:r>
        <w:r w:rsidR="00227A00">
          <w:rPr>
            <w:noProof/>
            <w:webHidden/>
          </w:rPr>
          <w:t>11</w:t>
        </w:r>
        <w:r w:rsidR="00227A00">
          <w:rPr>
            <w:noProof/>
            <w:webHidden/>
          </w:rPr>
          <w:fldChar w:fldCharType="end"/>
        </w:r>
      </w:hyperlink>
    </w:p>
    <w:p w14:paraId="774E35DE"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21" w:history="1">
        <w:r w:rsidR="00227A00" w:rsidRPr="00A73917">
          <w:rPr>
            <w:rStyle w:val="Hyperlink"/>
            <w:noProof/>
          </w:rPr>
          <w:t>Human Resources</w:t>
        </w:r>
        <w:r w:rsidR="00227A00">
          <w:rPr>
            <w:noProof/>
            <w:webHidden/>
          </w:rPr>
          <w:tab/>
        </w:r>
        <w:r w:rsidR="00227A00">
          <w:rPr>
            <w:noProof/>
            <w:webHidden/>
          </w:rPr>
          <w:fldChar w:fldCharType="begin"/>
        </w:r>
        <w:r w:rsidR="00227A00">
          <w:rPr>
            <w:noProof/>
            <w:webHidden/>
          </w:rPr>
          <w:instrText xml:space="preserve"> PAGEREF _Toc15557921 \h </w:instrText>
        </w:r>
        <w:r w:rsidR="00227A00">
          <w:rPr>
            <w:noProof/>
            <w:webHidden/>
          </w:rPr>
        </w:r>
        <w:r w:rsidR="00227A00">
          <w:rPr>
            <w:noProof/>
            <w:webHidden/>
          </w:rPr>
          <w:fldChar w:fldCharType="separate"/>
        </w:r>
        <w:r w:rsidR="00227A00">
          <w:rPr>
            <w:noProof/>
            <w:webHidden/>
          </w:rPr>
          <w:t>12</w:t>
        </w:r>
        <w:r w:rsidR="00227A00">
          <w:rPr>
            <w:noProof/>
            <w:webHidden/>
          </w:rPr>
          <w:fldChar w:fldCharType="end"/>
        </w:r>
      </w:hyperlink>
    </w:p>
    <w:p w14:paraId="0E75839B"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22" w:history="1">
        <w:r w:rsidR="00227A00" w:rsidRPr="00A73917">
          <w:rPr>
            <w:rStyle w:val="Hyperlink"/>
            <w:noProof/>
          </w:rPr>
          <w:t>Finance and Procurement</w:t>
        </w:r>
        <w:r w:rsidR="00227A00">
          <w:rPr>
            <w:noProof/>
            <w:webHidden/>
          </w:rPr>
          <w:tab/>
        </w:r>
        <w:r w:rsidR="00227A00">
          <w:rPr>
            <w:noProof/>
            <w:webHidden/>
          </w:rPr>
          <w:fldChar w:fldCharType="begin"/>
        </w:r>
        <w:r w:rsidR="00227A00">
          <w:rPr>
            <w:noProof/>
            <w:webHidden/>
          </w:rPr>
          <w:instrText xml:space="preserve"> PAGEREF _Toc15557922 \h </w:instrText>
        </w:r>
        <w:r w:rsidR="00227A00">
          <w:rPr>
            <w:noProof/>
            <w:webHidden/>
          </w:rPr>
        </w:r>
        <w:r w:rsidR="00227A00">
          <w:rPr>
            <w:noProof/>
            <w:webHidden/>
          </w:rPr>
          <w:fldChar w:fldCharType="separate"/>
        </w:r>
        <w:r w:rsidR="00227A00">
          <w:rPr>
            <w:noProof/>
            <w:webHidden/>
          </w:rPr>
          <w:t>12</w:t>
        </w:r>
        <w:r w:rsidR="00227A00">
          <w:rPr>
            <w:noProof/>
            <w:webHidden/>
          </w:rPr>
          <w:fldChar w:fldCharType="end"/>
        </w:r>
      </w:hyperlink>
    </w:p>
    <w:p w14:paraId="4D4691D2" w14:textId="77777777" w:rsidR="00227A00" w:rsidRDefault="00464B7E">
      <w:pPr>
        <w:pStyle w:val="TOC2"/>
        <w:tabs>
          <w:tab w:val="right" w:leader="dot" w:pos="7694"/>
        </w:tabs>
        <w:rPr>
          <w:rFonts w:asciiTheme="minorHAnsi" w:eastAsiaTheme="minorEastAsia" w:hAnsiTheme="minorHAnsi"/>
          <w:noProof/>
          <w:szCs w:val="22"/>
          <w:lang w:eastAsia="en-AU"/>
        </w:rPr>
      </w:pPr>
      <w:hyperlink w:anchor="_Toc15557923" w:history="1">
        <w:r w:rsidR="00227A00" w:rsidRPr="00A73917">
          <w:rPr>
            <w:rStyle w:val="Hyperlink"/>
            <w:noProof/>
          </w:rPr>
          <w:t>Central and regional office support</w:t>
        </w:r>
        <w:r w:rsidR="00227A00">
          <w:rPr>
            <w:noProof/>
            <w:webHidden/>
          </w:rPr>
          <w:tab/>
        </w:r>
        <w:r w:rsidR="00227A00">
          <w:rPr>
            <w:noProof/>
            <w:webHidden/>
          </w:rPr>
          <w:fldChar w:fldCharType="begin"/>
        </w:r>
        <w:r w:rsidR="00227A00">
          <w:rPr>
            <w:noProof/>
            <w:webHidden/>
          </w:rPr>
          <w:instrText xml:space="preserve"> PAGEREF _Toc15557923 \h </w:instrText>
        </w:r>
        <w:r w:rsidR="00227A00">
          <w:rPr>
            <w:noProof/>
            <w:webHidden/>
          </w:rPr>
        </w:r>
        <w:r w:rsidR="00227A00">
          <w:rPr>
            <w:noProof/>
            <w:webHidden/>
          </w:rPr>
          <w:fldChar w:fldCharType="separate"/>
        </w:r>
        <w:r w:rsidR="00227A00">
          <w:rPr>
            <w:noProof/>
            <w:webHidden/>
          </w:rPr>
          <w:t>13</w:t>
        </w:r>
        <w:r w:rsidR="00227A00">
          <w:rPr>
            <w:noProof/>
            <w:webHidden/>
          </w:rPr>
          <w:fldChar w:fldCharType="end"/>
        </w:r>
      </w:hyperlink>
    </w:p>
    <w:p w14:paraId="27550E31" w14:textId="77777777" w:rsidR="00227A00" w:rsidRDefault="00464B7E">
      <w:pPr>
        <w:pStyle w:val="TOC1"/>
        <w:tabs>
          <w:tab w:val="right" w:leader="dot" w:pos="7694"/>
        </w:tabs>
        <w:rPr>
          <w:rFonts w:asciiTheme="minorHAnsi" w:eastAsiaTheme="minorEastAsia" w:hAnsiTheme="minorHAnsi"/>
          <w:noProof/>
          <w:szCs w:val="22"/>
          <w:lang w:eastAsia="en-AU"/>
        </w:rPr>
      </w:pPr>
      <w:hyperlink w:anchor="_Toc15557924" w:history="1">
        <w:r w:rsidR="00227A00" w:rsidRPr="00A73917">
          <w:rPr>
            <w:rStyle w:val="Hyperlink"/>
            <w:noProof/>
          </w:rPr>
          <w:t>Further information</w:t>
        </w:r>
        <w:r w:rsidR="00227A00">
          <w:rPr>
            <w:noProof/>
            <w:webHidden/>
          </w:rPr>
          <w:tab/>
        </w:r>
        <w:r w:rsidR="00227A00">
          <w:rPr>
            <w:noProof/>
            <w:webHidden/>
          </w:rPr>
          <w:fldChar w:fldCharType="begin"/>
        </w:r>
        <w:r w:rsidR="00227A00">
          <w:rPr>
            <w:noProof/>
            <w:webHidden/>
          </w:rPr>
          <w:instrText xml:space="preserve"> PAGEREF _Toc15557924 \h </w:instrText>
        </w:r>
        <w:r w:rsidR="00227A00">
          <w:rPr>
            <w:noProof/>
            <w:webHidden/>
          </w:rPr>
        </w:r>
        <w:r w:rsidR="00227A00">
          <w:rPr>
            <w:noProof/>
            <w:webHidden/>
          </w:rPr>
          <w:fldChar w:fldCharType="separate"/>
        </w:r>
        <w:r w:rsidR="00227A00">
          <w:rPr>
            <w:noProof/>
            <w:webHidden/>
          </w:rPr>
          <w:t>14</w:t>
        </w:r>
        <w:r w:rsidR="00227A00">
          <w:rPr>
            <w:noProof/>
            <w:webHidden/>
          </w:rPr>
          <w:fldChar w:fldCharType="end"/>
        </w:r>
      </w:hyperlink>
    </w:p>
    <w:p w14:paraId="7919ABD7" w14:textId="24F97D2C" w:rsidR="00E52280" w:rsidRPr="006D5888" w:rsidRDefault="00754908" w:rsidP="00994065">
      <w:pPr>
        <w:rPr>
          <w:b/>
          <w:sz w:val="16"/>
          <w:lang w:eastAsia="en-AU"/>
        </w:rPr>
      </w:pPr>
      <w:r w:rsidRPr="00227A00">
        <w:rPr>
          <w:highlight w:val="yellow"/>
          <w:lang w:eastAsia="en-AU"/>
        </w:rPr>
        <w:fldChar w:fldCharType="end"/>
      </w:r>
      <w:r w:rsidR="00E52280" w:rsidRPr="006D5888">
        <w:rPr>
          <w:b/>
          <w:sz w:val="16"/>
          <w:lang w:eastAsia="en-AU"/>
        </w:rPr>
        <w:t>Copyright</w:t>
      </w:r>
    </w:p>
    <w:p w14:paraId="68E23CC8" w14:textId="1C49018E" w:rsidR="00E52280" w:rsidRPr="006D5888" w:rsidRDefault="00E52280" w:rsidP="00A37C16">
      <w:pPr>
        <w:rPr>
          <w:sz w:val="16"/>
          <w:lang w:eastAsia="en-AU"/>
        </w:rPr>
      </w:pPr>
      <w:r w:rsidRPr="006D5888">
        <w:rPr>
          <w:sz w:val="16"/>
          <w:lang w:eastAsia="en-AU"/>
        </w:rPr>
        <w:t>© The State of Queensland (Department of Education) 20</w:t>
      </w:r>
      <w:r w:rsidR="00834D28">
        <w:rPr>
          <w:sz w:val="16"/>
          <w:lang w:eastAsia="en-AU"/>
        </w:rPr>
        <w:t>2</w:t>
      </w:r>
      <w:r w:rsidR="00464B7E">
        <w:rPr>
          <w:sz w:val="16"/>
          <w:lang w:eastAsia="en-AU"/>
        </w:rPr>
        <w:t>2</w:t>
      </w:r>
      <w:bookmarkStart w:id="0" w:name="_GoBack"/>
      <w:bookmarkEnd w:id="0"/>
      <w:r w:rsidRPr="006D5888">
        <w:rPr>
          <w:sz w:val="16"/>
          <w:lang w:eastAsia="en-AU"/>
        </w:rPr>
        <w:t>.</w:t>
      </w:r>
    </w:p>
    <w:p w14:paraId="4A42B13A" w14:textId="77777777" w:rsidR="00E52280" w:rsidRPr="006D5888" w:rsidRDefault="00E52280" w:rsidP="00994065">
      <w:pPr>
        <w:rPr>
          <w:sz w:val="16"/>
          <w:lang w:eastAsia="en-AU"/>
        </w:rPr>
      </w:pPr>
      <w:r w:rsidRPr="006D5888">
        <w:rPr>
          <w:sz w:val="16"/>
          <w:lang w:eastAsia="en-AU"/>
        </w:rPr>
        <w:t>Copyright protects this material. Except as permitted by the Copyright Act 1968 (</w:t>
      </w:r>
      <w:proofErr w:type="spellStart"/>
      <w:r w:rsidRPr="006D5888">
        <w:rPr>
          <w:sz w:val="16"/>
          <w:lang w:eastAsia="en-AU"/>
        </w:rPr>
        <w:t>Cth</w:t>
      </w:r>
      <w:proofErr w:type="spellEnd"/>
      <w:r w:rsidRPr="006D5888">
        <w:rPr>
          <w:sz w:val="16"/>
          <w:lang w:eastAsia="en-AU"/>
        </w:rPr>
        <w:t>), reproduction by any means (photocopying, electronic, mechanical, recording or otherwise), making available online, electronic transmission or other publication of this material is prohibited without the prior written consent of the Department of Education.</w:t>
      </w:r>
    </w:p>
    <w:p w14:paraId="7B95DF79" w14:textId="77777777" w:rsidR="00E52280" w:rsidRPr="00412F30" w:rsidRDefault="00E52280" w:rsidP="00994065">
      <w:pPr>
        <w:rPr>
          <w:b/>
          <w:sz w:val="16"/>
          <w:lang w:eastAsia="en-AU"/>
        </w:rPr>
      </w:pPr>
      <w:r w:rsidRPr="00412F30">
        <w:rPr>
          <w:b/>
          <w:sz w:val="16"/>
          <w:lang w:eastAsia="en-AU"/>
        </w:rPr>
        <w:t>Contact</w:t>
      </w:r>
    </w:p>
    <w:p w14:paraId="3FAB2A41" w14:textId="07B82456" w:rsidR="00E52280" w:rsidRPr="00412F30" w:rsidRDefault="0096495F" w:rsidP="00994065">
      <w:pPr>
        <w:rPr>
          <w:sz w:val="16"/>
          <w:lang w:eastAsia="en-AU"/>
        </w:rPr>
      </w:pPr>
      <w:r w:rsidRPr="00412F30">
        <w:rPr>
          <w:sz w:val="16"/>
          <w:lang w:eastAsia="en-AU"/>
        </w:rPr>
        <w:t xml:space="preserve">Queensland State Schooling Resourcing, </w:t>
      </w:r>
      <w:r w:rsidR="00E52280" w:rsidRPr="00412F30">
        <w:rPr>
          <w:sz w:val="16"/>
          <w:lang w:eastAsia="en-AU"/>
        </w:rPr>
        <w:t>Finance Branch</w:t>
      </w:r>
    </w:p>
    <w:p w14:paraId="2480DED9" w14:textId="71344994" w:rsidR="00E52280" w:rsidRPr="00801A73" w:rsidRDefault="00E52280" w:rsidP="00994065">
      <w:pPr>
        <w:rPr>
          <w:sz w:val="16"/>
          <w:lang w:val="fr-FR" w:eastAsia="en-AU"/>
        </w:rPr>
      </w:pPr>
      <w:proofErr w:type="gramStart"/>
      <w:r w:rsidRPr="00801A73">
        <w:rPr>
          <w:sz w:val="16"/>
          <w:lang w:val="fr-FR" w:eastAsia="en-AU"/>
        </w:rPr>
        <w:t>Phone:</w:t>
      </w:r>
      <w:proofErr w:type="gramEnd"/>
      <w:r w:rsidRPr="00801A73">
        <w:rPr>
          <w:sz w:val="16"/>
          <w:lang w:val="fr-FR" w:eastAsia="en-AU"/>
        </w:rPr>
        <w:t xml:space="preserve"> </w:t>
      </w:r>
      <w:r w:rsidR="0096495F" w:rsidRPr="00801A73">
        <w:rPr>
          <w:sz w:val="16"/>
          <w:lang w:val="fr-FR" w:eastAsia="en-AU"/>
        </w:rPr>
        <w:t>07 3055 2840</w:t>
      </w:r>
    </w:p>
    <w:p w14:paraId="0B0DA181" w14:textId="0FFC5A26" w:rsidR="0096495F" w:rsidRDefault="0096495F" w:rsidP="00994065">
      <w:pPr>
        <w:rPr>
          <w:sz w:val="16"/>
          <w:lang w:val="fr-FR" w:eastAsia="en-AU"/>
        </w:rPr>
      </w:pPr>
      <w:proofErr w:type="gramStart"/>
      <w:r w:rsidRPr="00801A73">
        <w:rPr>
          <w:sz w:val="16"/>
          <w:lang w:val="fr-FR" w:eastAsia="en-AU"/>
        </w:rPr>
        <w:t>Email:</w:t>
      </w:r>
      <w:proofErr w:type="gramEnd"/>
      <w:r w:rsidRPr="00801A73">
        <w:rPr>
          <w:sz w:val="16"/>
          <w:lang w:val="fr-FR" w:eastAsia="en-AU"/>
        </w:rPr>
        <w:t xml:space="preserve"> </w:t>
      </w:r>
      <w:hyperlink r:id="rId8" w:history="1">
        <w:r w:rsidR="00834D28" w:rsidRPr="00F753D9">
          <w:rPr>
            <w:rStyle w:val="Hyperlink"/>
            <w:sz w:val="16"/>
            <w:lang w:val="fr-FR" w:eastAsia="en-AU"/>
          </w:rPr>
          <w:t>Stateschoolresourcing@qed.qld.gov.au</w:t>
        </w:r>
      </w:hyperlink>
    </w:p>
    <w:p w14:paraId="3E0992E6" w14:textId="79546985" w:rsidR="00E52280" w:rsidRPr="00801A73" w:rsidRDefault="00E52280" w:rsidP="00994065">
      <w:pPr>
        <w:rPr>
          <w:sz w:val="16"/>
          <w:lang w:val="fr-FR" w:eastAsia="en-AU"/>
        </w:rPr>
      </w:pPr>
      <w:proofErr w:type="gramStart"/>
      <w:r w:rsidRPr="00801A73">
        <w:rPr>
          <w:sz w:val="16"/>
          <w:lang w:val="fr-FR" w:eastAsia="en-AU"/>
        </w:rPr>
        <w:t>TRIM:</w:t>
      </w:r>
      <w:proofErr w:type="gramEnd"/>
      <w:r w:rsidRPr="00801A73">
        <w:rPr>
          <w:sz w:val="16"/>
          <w:lang w:val="fr-FR" w:eastAsia="en-AU"/>
        </w:rPr>
        <w:t xml:space="preserve"> </w:t>
      </w:r>
      <w:r w:rsidR="00D853CC">
        <w:rPr>
          <w:sz w:val="16"/>
          <w:lang w:val="fr-FR" w:eastAsia="en-AU"/>
        </w:rPr>
        <w:t>22/485682</w:t>
      </w:r>
      <w:r w:rsidR="00CA317D" w:rsidRPr="00801A73">
        <w:rPr>
          <w:sz w:val="16"/>
          <w:lang w:val="fr-FR" w:eastAsia="en-AU"/>
        </w:rPr>
        <w:t xml:space="preserve"> (accessible version)</w:t>
      </w:r>
    </w:p>
    <w:p w14:paraId="10554B5D" w14:textId="4EA6A98A" w:rsidR="00E52280" w:rsidRPr="00801A73" w:rsidRDefault="00E52280">
      <w:pPr>
        <w:spacing w:after="0" w:line="240" w:lineRule="auto"/>
        <w:rPr>
          <w:lang w:val="fr-FR" w:eastAsia="en-AU"/>
        </w:rPr>
      </w:pPr>
      <w:r w:rsidRPr="00801A73">
        <w:rPr>
          <w:lang w:val="fr-FR" w:eastAsia="en-AU"/>
        </w:rPr>
        <w:br w:type="page"/>
      </w:r>
    </w:p>
    <w:p w14:paraId="1770BC35" w14:textId="77777777" w:rsidR="00754908" w:rsidRDefault="00754908" w:rsidP="00754908">
      <w:pPr>
        <w:pStyle w:val="Heading1"/>
      </w:pPr>
      <w:bookmarkStart w:id="1" w:name="_Toc15557907"/>
      <w:r>
        <w:lastRenderedPageBreak/>
        <w:t>Introduction</w:t>
      </w:r>
      <w:bookmarkEnd w:id="1"/>
    </w:p>
    <w:p w14:paraId="5FBF7B81" w14:textId="1CF96C88" w:rsidR="00CF3520" w:rsidRPr="00F96C71" w:rsidRDefault="00CF3520" w:rsidP="00CF3520">
      <w:pPr>
        <w:rPr>
          <w:lang w:eastAsia="en-AU"/>
        </w:rPr>
      </w:pPr>
      <w:r w:rsidRPr="00AF2B47">
        <w:rPr>
          <w:lang w:eastAsia="en-AU"/>
        </w:rPr>
        <w:t xml:space="preserve">Queensland state schools </w:t>
      </w:r>
      <w:r>
        <w:rPr>
          <w:lang w:eastAsia="en-AU"/>
        </w:rPr>
        <w:t>are resourced</w:t>
      </w:r>
      <w:r w:rsidRPr="00AF2B47">
        <w:rPr>
          <w:lang w:eastAsia="en-AU"/>
        </w:rPr>
        <w:t xml:space="preserve"> to </w:t>
      </w:r>
      <w:r>
        <w:rPr>
          <w:lang w:eastAsia="en-AU"/>
        </w:rPr>
        <w:t xml:space="preserve">deliver high quality education services, </w:t>
      </w:r>
      <w:r w:rsidRPr="00AF2B47">
        <w:rPr>
          <w:lang w:eastAsia="en-AU"/>
        </w:rPr>
        <w:t xml:space="preserve">improve student learning outcomes and manage school operations. </w:t>
      </w:r>
      <w:r>
        <w:rPr>
          <w:lang w:eastAsia="en-AU"/>
        </w:rPr>
        <w:t>School resourcing including s</w:t>
      </w:r>
      <w:r w:rsidRPr="00AF2B47">
        <w:rPr>
          <w:lang w:eastAsia="en-AU"/>
        </w:rPr>
        <w:t>taff</w:t>
      </w:r>
      <w:r>
        <w:rPr>
          <w:lang w:eastAsia="en-AU"/>
        </w:rPr>
        <w:t>ing</w:t>
      </w:r>
      <w:r w:rsidRPr="00AF2B47">
        <w:rPr>
          <w:lang w:eastAsia="en-AU"/>
        </w:rPr>
        <w:t xml:space="preserve">, funding, infrastructure and </w:t>
      </w:r>
      <w:r>
        <w:rPr>
          <w:lang w:eastAsia="en-AU"/>
        </w:rPr>
        <w:t xml:space="preserve">information </w:t>
      </w:r>
      <w:r w:rsidRPr="00AF2B47">
        <w:rPr>
          <w:lang w:eastAsia="en-AU"/>
        </w:rPr>
        <w:t>technolog</w:t>
      </w:r>
      <w:r>
        <w:rPr>
          <w:lang w:eastAsia="en-AU"/>
        </w:rPr>
        <w:t>ies</w:t>
      </w:r>
      <w:r w:rsidRPr="00AF2B47">
        <w:rPr>
          <w:lang w:eastAsia="en-AU"/>
        </w:rPr>
        <w:t xml:space="preserve"> </w:t>
      </w:r>
      <w:r>
        <w:rPr>
          <w:lang w:eastAsia="en-AU"/>
        </w:rPr>
        <w:t xml:space="preserve">is provided </w:t>
      </w:r>
      <w:r w:rsidRPr="00AF2B47">
        <w:rPr>
          <w:lang w:eastAsia="en-AU"/>
        </w:rPr>
        <w:t xml:space="preserve">through </w:t>
      </w:r>
      <w:r>
        <w:rPr>
          <w:lang w:eastAsia="en-AU"/>
        </w:rPr>
        <w:t xml:space="preserve">allocated methodological </w:t>
      </w:r>
      <w:r w:rsidRPr="00AF2B47">
        <w:rPr>
          <w:lang w:eastAsia="en-AU"/>
        </w:rPr>
        <w:t xml:space="preserve">formulae </w:t>
      </w:r>
      <w:r>
        <w:rPr>
          <w:lang w:eastAsia="en-AU"/>
        </w:rPr>
        <w:t>and</w:t>
      </w:r>
      <w:r w:rsidRPr="00AF2B47">
        <w:rPr>
          <w:lang w:eastAsia="en-AU"/>
        </w:rPr>
        <w:t xml:space="preserve"> </w:t>
      </w:r>
      <w:r>
        <w:rPr>
          <w:lang w:eastAsia="en-AU"/>
        </w:rPr>
        <w:t xml:space="preserve">specific determinations made </w:t>
      </w:r>
      <w:r w:rsidRPr="00AF2B47">
        <w:rPr>
          <w:lang w:eastAsia="en-AU"/>
        </w:rPr>
        <w:t xml:space="preserve">at central and regional levels. </w:t>
      </w:r>
      <w:r>
        <w:rPr>
          <w:lang w:eastAsia="en-AU"/>
        </w:rPr>
        <w:t xml:space="preserve">The overarching resourcing arrangements are </w:t>
      </w:r>
      <w:r w:rsidRPr="00F96C71">
        <w:rPr>
          <w:lang w:eastAsia="en-AU"/>
        </w:rPr>
        <w:t>focu</w:t>
      </w:r>
      <w:r>
        <w:rPr>
          <w:lang w:eastAsia="en-AU"/>
        </w:rPr>
        <w:t>sed</w:t>
      </w:r>
      <w:r w:rsidRPr="00F96C71">
        <w:rPr>
          <w:lang w:eastAsia="en-AU"/>
        </w:rPr>
        <w:t xml:space="preserve"> on addressing student needs</w:t>
      </w:r>
      <w:r>
        <w:rPr>
          <w:lang w:eastAsia="en-AU"/>
        </w:rPr>
        <w:t xml:space="preserve"> across the state-wide footprint of Queensland </w:t>
      </w:r>
      <w:r w:rsidR="007C4AB5">
        <w:rPr>
          <w:lang w:eastAsia="en-AU"/>
        </w:rPr>
        <w:t>s</w:t>
      </w:r>
      <w:r>
        <w:rPr>
          <w:lang w:eastAsia="en-AU"/>
        </w:rPr>
        <w:t xml:space="preserve">tate </w:t>
      </w:r>
      <w:r w:rsidR="007C4AB5">
        <w:rPr>
          <w:lang w:eastAsia="en-AU"/>
        </w:rPr>
        <w:t>s</w:t>
      </w:r>
      <w:r>
        <w:rPr>
          <w:lang w:eastAsia="en-AU"/>
        </w:rPr>
        <w:t>chools</w:t>
      </w:r>
      <w:r w:rsidRPr="00F96C71">
        <w:rPr>
          <w:lang w:eastAsia="en-AU"/>
        </w:rPr>
        <w:t xml:space="preserve">. All schools receive core resources </w:t>
      </w:r>
      <w:r>
        <w:rPr>
          <w:lang w:eastAsia="en-AU"/>
        </w:rPr>
        <w:t xml:space="preserve">and these </w:t>
      </w:r>
      <w:r w:rsidRPr="00F96C71">
        <w:rPr>
          <w:lang w:eastAsia="en-AU"/>
        </w:rPr>
        <w:t xml:space="preserve">may be supplemented by targeted resources to </w:t>
      </w:r>
      <w:r>
        <w:rPr>
          <w:lang w:eastAsia="en-AU"/>
        </w:rPr>
        <w:t xml:space="preserve">support </w:t>
      </w:r>
      <w:r w:rsidRPr="00F96C71">
        <w:rPr>
          <w:lang w:eastAsia="en-AU"/>
        </w:rPr>
        <w:t>schools to address specific needs</w:t>
      </w:r>
      <w:r>
        <w:rPr>
          <w:lang w:eastAsia="en-AU"/>
        </w:rPr>
        <w:t>. These may include</w:t>
      </w:r>
      <w:r w:rsidRPr="00F96C71">
        <w:rPr>
          <w:lang w:eastAsia="en-AU"/>
        </w:rPr>
        <w:t>:</w:t>
      </w:r>
    </w:p>
    <w:p w14:paraId="4FF1E918" w14:textId="5B37D7AE" w:rsidR="00CF3520" w:rsidRPr="004A20A4" w:rsidRDefault="00CF3520" w:rsidP="00CF3520">
      <w:pPr>
        <w:pStyle w:val="ListParagraph"/>
        <w:numPr>
          <w:ilvl w:val="0"/>
          <w:numId w:val="56"/>
        </w:numPr>
        <w:rPr>
          <w:lang w:val="en-GB"/>
        </w:rPr>
      </w:pPr>
      <w:r w:rsidRPr="004A20A4">
        <w:rPr>
          <w:lang w:val="en-GB"/>
        </w:rPr>
        <w:t>the needs of rural, remote and small schools</w:t>
      </w:r>
    </w:p>
    <w:p w14:paraId="0E881769" w14:textId="04E77EE0" w:rsidR="00CF3520" w:rsidRPr="004A20A4" w:rsidRDefault="00CF3520" w:rsidP="00CF3520">
      <w:pPr>
        <w:pStyle w:val="ListParagraph"/>
        <w:numPr>
          <w:ilvl w:val="0"/>
          <w:numId w:val="56"/>
        </w:numPr>
        <w:rPr>
          <w:lang w:val="en-GB"/>
        </w:rPr>
      </w:pPr>
      <w:r w:rsidRPr="004A20A4">
        <w:rPr>
          <w:lang w:val="en-GB"/>
        </w:rPr>
        <w:t>closing the historical gap in educational achievement between Indigenous and non-Indigenous students</w:t>
      </w:r>
      <w:r>
        <w:rPr>
          <w:rStyle w:val="FootnoteReference"/>
          <w:lang w:val="en-GB"/>
        </w:rPr>
        <w:footnoteReference w:id="1"/>
      </w:r>
    </w:p>
    <w:p w14:paraId="15F6DAE2" w14:textId="1DDED33B" w:rsidR="00CF3520" w:rsidRPr="004A20A4" w:rsidRDefault="00CF3520" w:rsidP="00CF3520">
      <w:pPr>
        <w:pStyle w:val="ListParagraph"/>
        <w:numPr>
          <w:ilvl w:val="0"/>
          <w:numId w:val="56"/>
        </w:numPr>
        <w:rPr>
          <w:lang w:val="en-GB"/>
        </w:rPr>
      </w:pPr>
      <w:r w:rsidRPr="004A20A4">
        <w:rPr>
          <w:lang w:val="en-GB"/>
        </w:rPr>
        <w:t>addressing the link between low socio-economic status (SES) and poorer educational outcomes</w:t>
      </w:r>
    </w:p>
    <w:p w14:paraId="3A37CB5F" w14:textId="5D6B8C28" w:rsidR="00CF3520" w:rsidRPr="004A20A4" w:rsidRDefault="00CF3520" w:rsidP="00CF3520">
      <w:pPr>
        <w:pStyle w:val="ListParagraph"/>
        <w:numPr>
          <w:ilvl w:val="0"/>
          <w:numId w:val="56"/>
        </w:numPr>
        <w:rPr>
          <w:lang w:val="en-GB"/>
        </w:rPr>
      </w:pPr>
      <w:r>
        <w:rPr>
          <w:lang w:val="en-GB"/>
        </w:rPr>
        <w:t xml:space="preserve">meeting the education adjustment and support needs of </w:t>
      </w:r>
      <w:r w:rsidRPr="004A20A4">
        <w:rPr>
          <w:lang w:val="en-GB"/>
        </w:rPr>
        <w:t>students with disability.</w:t>
      </w:r>
    </w:p>
    <w:p w14:paraId="0981C8FE" w14:textId="77777777" w:rsidR="00CF3520" w:rsidRPr="00DF5115" w:rsidRDefault="00CF3520" w:rsidP="00CF3520">
      <w:pPr>
        <w:rPr>
          <w:lang w:eastAsia="en-AU"/>
        </w:rPr>
      </w:pPr>
      <w:r w:rsidRPr="00DF5115">
        <w:rPr>
          <w:lang w:eastAsia="en-AU"/>
        </w:rPr>
        <w:t xml:space="preserve">This </w:t>
      </w:r>
      <w:r>
        <w:rPr>
          <w:lang w:eastAsia="en-AU"/>
        </w:rPr>
        <w:t>g</w:t>
      </w:r>
      <w:r w:rsidRPr="00DF5115">
        <w:rPr>
          <w:lang w:eastAsia="en-AU"/>
        </w:rPr>
        <w:t xml:space="preserve">uide </w:t>
      </w:r>
      <w:r>
        <w:rPr>
          <w:lang w:eastAsia="en-AU"/>
        </w:rPr>
        <w:t xml:space="preserve">provides a high-level summary </w:t>
      </w:r>
      <w:r w:rsidRPr="00DF5115">
        <w:rPr>
          <w:lang w:eastAsia="en-AU"/>
        </w:rPr>
        <w:t xml:space="preserve">to help </w:t>
      </w:r>
      <w:r>
        <w:rPr>
          <w:lang w:eastAsia="en-AU"/>
        </w:rPr>
        <w:t xml:space="preserve">school leaders better understand their school resource </w:t>
      </w:r>
      <w:r w:rsidRPr="00DF5115">
        <w:rPr>
          <w:lang w:eastAsia="en-AU"/>
        </w:rPr>
        <w:t xml:space="preserve">allocations. </w:t>
      </w:r>
      <w:r>
        <w:rPr>
          <w:lang w:eastAsia="en-AU"/>
        </w:rPr>
        <w:t xml:space="preserve">For information on individual school-level allocations, Queensland state schools have access to a </w:t>
      </w:r>
      <w:r w:rsidRPr="005552F9">
        <w:rPr>
          <w:lang w:eastAsia="en-AU"/>
        </w:rPr>
        <w:t xml:space="preserve">secure on-line </w:t>
      </w:r>
      <w:r>
        <w:rPr>
          <w:lang w:eastAsia="en-AU"/>
        </w:rPr>
        <w:t xml:space="preserve">School Budget Solution. Further </w:t>
      </w:r>
      <w:r w:rsidRPr="00DF5115">
        <w:rPr>
          <w:lang w:eastAsia="en-AU"/>
        </w:rPr>
        <w:t xml:space="preserve">information </w:t>
      </w:r>
      <w:r>
        <w:rPr>
          <w:lang w:eastAsia="en-AU"/>
        </w:rPr>
        <w:t xml:space="preserve">is available to </w:t>
      </w:r>
      <w:r w:rsidRPr="00DF5115">
        <w:rPr>
          <w:lang w:eastAsia="en-AU"/>
        </w:rPr>
        <w:t xml:space="preserve">principals and other staff </w:t>
      </w:r>
      <w:r>
        <w:rPr>
          <w:lang w:eastAsia="en-AU"/>
        </w:rPr>
        <w:t>through the department’s intranet (</w:t>
      </w:r>
      <w:proofErr w:type="spellStart"/>
      <w:r w:rsidRPr="00DF5115">
        <w:rPr>
          <w:lang w:eastAsia="en-AU"/>
        </w:rPr>
        <w:t>OnePortal</w:t>
      </w:r>
      <w:proofErr w:type="spellEnd"/>
      <w:r>
        <w:rPr>
          <w:lang w:eastAsia="en-AU"/>
        </w:rPr>
        <w:t>) or regional offices</w:t>
      </w:r>
      <w:r w:rsidRPr="00DF5115">
        <w:rPr>
          <w:lang w:eastAsia="en-AU"/>
        </w:rPr>
        <w:t>.</w:t>
      </w:r>
    </w:p>
    <w:p w14:paraId="41D89EF2" w14:textId="02B11D58" w:rsidR="00754908" w:rsidRPr="00DF5115" w:rsidRDefault="00754908" w:rsidP="00754908">
      <w:pPr>
        <w:rPr>
          <w:lang w:eastAsia="en-AU"/>
        </w:rPr>
      </w:pPr>
    </w:p>
    <w:p w14:paraId="5437B08C" w14:textId="24137D52" w:rsidR="00994065" w:rsidRDefault="00994065">
      <w:pPr>
        <w:spacing w:after="0" w:line="240" w:lineRule="auto"/>
        <w:rPr>
          <w:lang w:eastAsia="en-AU"/>
        </w:rPr>
      </w:pPr>
      <w:r>
        <w:rPr>
          <w:lang w:eastAsia="en-AU"/>
        </w:rPr>
        <w:br w:type="page"/>
      </w:r>
    </w:p>
    <w:p w14:paraId="6780902F" w14:textId="7AF8E2C2" w:rsidR="00A52A21" w:rsidRDefault="00A52A21" w:rsidP="004F64D8">
      <w:pPr>
        <w:pStyle w:val="Heading1"/>
      </w:pPr>
      <w:bookmarkStart w:id="2" w:name="_Toc15557908"/>
      <w:r>
        <w:lastRenderedPageBreak/>
        <w:t>School income sources</w:t>
      </w:r>
      <w:bookmarkEnd w:id="2"/>
    </w:p>
    <w:p w14:paraId="2B500639" w14:textId="38875155" w:rsidR="00CF3520" w:rsidRDefault="00CF3520" w:rsidP="00CF3520">
      <w:pPr>
        <w:rPr>
          <w:lang w:eastAsia="en-AU"/>
        </w:rPr>
      </w:pPr>
      <w:r>
        <w:rPr>
          <w:lang w:eastAsia="en-AU"/>
        </w:rPr>
        <w:t>Around 95% of Queensland state school revenue comes from a combination of Queensland and Australian Government funding, with the remainder from school-derived income such as fundraising by Parents and Citizens</w:t>
      </w:r>
      <w:r w:rsidR="007022DC">
        <w:rPr>
          <w:lang w:eastAsia="en-AU"/>
        </w:rPr>
        <w:t>’</w:t>
      </w:r>
      <w:r>
        <w:rPr>
          <w:lang w:eastAsia="en-AU"/>
        </w:rPr>
        <w:t xml:space="preserve"> (P&amp;C) associations and donations. Schools are funded to provide students with instruction, facilities and administration. Government funding is allocated each year to schools predominately as school funding appropriations and staffing allocations, with schools developing and implementing annual plans and budgets for the use of these resources. Cash from appropriations and school-derived income is managed through school bank accounts to meet operating expenditure and minor capital works.</w:t>
      </w:r>
    </w:p>
    <w:p w14:paraId="318570EC" w14:textId="02F72509" w:rsidR="00846EF0" w:rsidRDefault="00CF3520" w:rsidP="00CF3520">
      <w:pPr>
        <w:rPr>
          <w:lang w:eastAsia="en-AU"/>
        </w:rPr>
      </w:pPr>
      <w:r>
        <w:rPr>
          <w:lang w:eastAsia="en-AU"/>
        </w:rPr>
        <w:t>Parents are responsible for providing textbooks, consumables, and equipment (such as musical instruments, or personal ICT devices when opting into 1-to-1 programs) to enhance student learning. Schools may, if they choose (i</w:t>
      </w:r>
      <w:r w:rsidR="005C353E">
        <w:rPr>
          <w:lang w:eastAsia="en-AU"/>
        </w:rPr>
        <w:t>n consultation with school P&amp;C a</w:t>
      </w:r>
      <w:r>
        <w:rPr>
          <w:lang w:eastAsia="en-AU"/>
        </w:rPr>
        <w:t xml:space="preserve">ssociations), offer a Student Resource Scheme as a convenient and </w:t>
      </w:r>
      <w:proofErr w:type="gramStart"/>
      <w:r>
        <w:rPr>
          <w:lang w:eastAsia="en-AU"/>
        </w:rPr>
        <w:t>cost effective</w:t>
      </w:r>
      <w:proofErr w:type="gramEnd"/>
      <w:r>
        <w:rPr>
          <w:lang w:eastAsia="en-AU"/>
        </w:rPr>
        <w:t xml:space="preserve"> way of sourcing the resources students require. Student Resource Schemes are run on a cost-recovery basis, and participation is optional for parents. Schools may also operate a voluntary contributions scheme to improve facilities and amenitie</w:t>
      </w:r>
      <w:r w:rsidR="00993D77">
        <w:rPr>
          <w:lang w:eastAsia="en-AU"/>
        </w:rPr>
        <w:t>s,</w:t>
      </w:r>
      <w:r>
        <w:rPr>
          <w:lang w:eastAsia="en-AU"/>
        </w:rPr>
        <w:t xml:space="preserve"> including classroom consumables or student ICT devices.</w:t>
      </w:r>
    </w:p>
    <w:p w14:paraId="6749DBBC" w14:textId="77777777" w:rsidR="00846EF0" w:rsidRDefault="00846EF0" w:rsidP="00846EF0">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Queensland state schools income sources and resource allocations</w:t>
      </w:r>
    </w:p>
    <w:p w14:paraId="57F26BC4" w14:textId="177F9883" w:rsidR="00A52A21" w:rsidRDefault="003210EB" w:rsidP="00846EF0">
      <w:pPr>
        <w:spacing w:after="0"/>
        <w:rPr>
          <w:rFonts w:eastAsia="MS Mincho" w:cs="Arial"/>
          <w:sz w:val="52"/>
          <w:szCs w:val="80"/>
          <w:lang w:val="en-GB"/>
        </w:rPr>
      </w:pPr>
      <w:r>
        <w:rPr>
          <w:rFonts w:eastAsia="MS Mincho" w:cs="Arial"/>
          <w:noProof/>
          <w:sz w:val="52"/>
          <w:szCs w:val="80"/>
          <w:lang w:eastAsia="en-AU"/>
        </w:rPr>
        <w:drawing>
          <wp:inline distT="0" distB="0" distL="0" distR="0" wp14:anchorId="2448C3A8" wp14:editId="2249CF9E">
            <wp:extent cx="4733925" cy="2975317"/>
            <wp:effectExtent l="0" t="0" r="0" b="0"/>
            <wp:docPr id="12" name="Picture 12" descr="Funding sources:&#10;&#10;* Queensland Government&#10;* Australian Government&#10;* School-derived income (fees, charges, parent and other private contributions, sponsorships, grants, etc)&#10;&#10;Funding distributions / Allocative methodologies:&#10;&#10;* School funding appropriations (including for asset maintenance, minor works and ICT support)&#10;* School staffing allocations&#10;* System-provided resources (including major infrastructure works, information technology and central and regional office services)&#10;" title="Queensland state schools income sources and resource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03 School funding flowchart v3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3712" cy="2975183"/>
                    </a:xfrm>
                    <a:prstGeom prst="rect">
                      <a:avLst/>
                    </a:prstGeom>
                  </pic:spPr>
                </pic:pic>
              </a:graphicData>
            </a:graphic>
          </wp:inline>
        </w:drawing>
      </w:r>
      <w:r w:rsidR="00A52A21">
        <w:br w:type="page"/>
      </w:r>
    </w:p>
    <w:p w14:paraId="4002468F" w14:textId="24F1188F" w:rsidR="004F64D8" w:rsidRDefault="00A52A21" w:rsidP="004F64D8">
      <w:pPr>
        <w:pStyle w:val="Heading1"/>
      </w:pPr>
      <w:bookmarkStart w:id="3" w:name="_Toc15557909"/>
      <w:r>
        <w:lastRenderedPageBreak/>
        <w:t>School r</w:t>
      </w:r>
      <w:r w:rsidR="004F64D8">
        <w:t>esourcing framework</w:t>
      </w:r>
      <w:bookmarkEnd w:id="3"/>
    </w:p>
    <w:p w14:paraId="4C9E4EE1" w14:textId="27CB0BE9" w:rsidR="00CF3520" w:rsidRDefault="00CF3520" w:rsidP="00CF3520">
      <w:pPr>
        <w:rPr>
          <w:lang w:eastAsia="en-AU"/>
        </w:rPr>
      </w:pPr>
      <w:r>
        <w:rPr>
          <w:lang w:eastAsia="en-AU"/>
        </w:rPr>
        <w:t>Queensland state schools are resourced through a combination of school funding appropriations, staffing allocations and system-provided resources. Queensland state s</w:t>
      </w:r>
      <w:r w:rsidRPr="00AF2B47">
        <w:rPr>
          <w:lang w:eastAsia="en-AU"/>
        </w:rPr>
        <w:t xml:space="preserve">chools have </w:t>
      </w:r>
      <w:r>
        <w:rPr>
          <w:lang w:eastAsia="en-AU"/>
        </w:rPr>
        <w:t xml:space="preserve">significant autonomy in the management of </w:t>
      </w:r>
      <w:r w:rsidRPr="00AF2B47">
        <w:rPr>
          <w:lang w:eastAsia="en-AU"/>
        </w:rPr>
        <w:t>their resources</w:t>
      </w:r>
      <w:r>
        <w:rPr>
          <w:lang w:eastAsia="en-AU"/>
        </w:rPr>
        <w:t xml:space="preserve">, with core funding appropriations and staffing allocations managed </w:t>
      </w:r>
      <w:r w:rsidRPr="00C87014">
        <w:rPr>
          <w:lang w:eastAsia="en-AU"/>
        </w:rPr>
        <w:t>flexibly within legislative and industrial requirements</w:t>
      </w:r>
      <w:r>
        <w:rPr>
          <w:lang w:eastAsia="en-AU"/>
        </w:rPr>
        <w:t xml:space="preserve">. The framework’s vision is for </w:t>
      </w:r>
      <w:r w:rsidRPr="006D2AC7">
        <w:rPr>
          <w:b/>
          <w:i/>
          <w:lang w:eastAsia="en-AU"/>
        </w:rPr>
        <w:t>predictable, flexible, needs-based and outcome-focused school resourcing</w:t>
      </w:r>
      <w:r w:rsidR="005C353E">
        <w:rPr>
          <w:lang w:eastAsia="en-AU"/>
        </w:rPr>
        <w:t>. Central office, r</w:t>
      </w:r>
      <w:r>
        <w:rPr>
          <w:lang w:eastAsia="en-AU"/>
        </w:rPr>
        <w:t>egions and schools are all required to achieve value for money by identifying and prioritising objectives, monitoring budgets and assessing benefits.</w:t>
      </w:r>
    </w:p>
    <w:p w14:paraId="471AF735" w14:textId="036E9CF5" w:rsidR="00754908" w:rsidRDefault="00754908" w:rsidP="00754908">
      <w:pPr>
        <w:pStyle w:val="Caption"/>
        <w:rPr>
          <w:lang w:eastAsia="en-AU"/>
        </w:rPr>
      </w:pPr>
      <w:r>
        <w:t xml:space="preserve">Figure </w:t>
      </w:r>
      <w:r w:rsidR="00676947">
        <w:rPr>
          <w:noProof/>
        </w:rPr>
        <w:fldChar w:fldCharType="begin"/>
      </w:r>
      <w:r w:rsidR="00676947">
        <w:rPr>
          <w:noProof/>
        </w:rPr>
        <w:instrText xml:space="preserve"> SEQ Figure \* ARABIC </w:instrText>
      </w:r>
      <w:r w:rsidR="00676947">
        <w:rPr>
          <w:noProof/>
        </w:rPr>
        <w:fldChar w:fldCharType="separate"/>
      </w:r>
      <w:r w:rsidR="00F874E9">
        <w:rPr>
          <w:noProof/>
        </w:rPr>
        <w:t>2</w:t>
      </w:r>
      <w:r w:rsidR="00676947">
        <w:rPr>
          <w:noProof/>
        </w:rPr>
        <w:fldChar w:fldCharType="end"/>
      </w:r>
      <w:r>
        <w:t>: Queensland</w:t>
      </w:r>
      <w:r w:rsidR="00960F93">
        <w:t>’s</w:t>
      </w:r>
      <w:r>
        <w:t xml:space="preserve"> state schools resourcing framework</w:t>
      </w:r>
    </w:p>
    <w:p w14:paraId="2E566EC6" w14:textId="161A1BBD" w:rsidR="00754908" w:rsidRDefault="00E01745" w:rsidP="0000499E">
      <w:pPr>
        <w:spacing w:after="0"/>
        <w:rPr>
          <w:lang w:eastAsia="en-AU"/>
        </w:rPr>
      </w:pPr>
      <w:r>
        <w:rPr>
          <w:noProof/>
          <w:lang w:eastAsia="en-AU"/>
        </w:rPr>
        <w:drawing>
          <wp:inline distT="0" distB="0" distL="0" distR="0" wp14:anchorId="02A6DE5B" wp14:editId="7829F540">
            <wp:extent cx="4892040" cy="5183505"/>
            <wp:effectExtent l="0" t="0" r="3810" b="0"/>
            <wp:docPr id="2" name="Picture 2" descr="School funding appropriations:&#10;&#10;* Core appropriations for operational expenses including minor infrastructure works, technology and ICT support&#10;* Targeted appropriations for specified outcomes (including asset maintenance)&#10;&#10;By application: Some resources are only available by application or expression of interest - for details refer to the Queensland Education website.&#10;&#10;School staffing allocations:&#10;&#10;* Core staffing&#10;* Targeted staffing for specified needs:&#10;  - Rural, remote and small schools&#10;  - Indigenous students&#10;  - Low socio-economic status&#10;  - Students with disability (including special schools)&#10;  - English as an Additional Language or Dialect (EAL/D)&#10;  - Refugees&#10;  - Student behaviour&#10;&#10;System-provided resources:&#10;&#10;* Major infrastructure works&#10;* Major information and communication technology&#10;* Central and regional office services and coordination&#10;" title="Queensland’s state schools resourcing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03 SS Resourcing Framework v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2040" cy="5183505"/>
                    </a:xfrm>
                    <a:prstGeom prst="rect">
                      <a:avLst/>
                    </a:prstGeom>
                  </pic:spPr>
                </pic:pic>
              </a:graphicData>
            </a:graphic>
          </wp:inline>
        </w:drawing>
      </w:r>
    </w:p>
    <w:p w14:paraId="3191DCBA" w14:textId="19927F27" w:rsidR="0074138D" w:rsidRDefault="0074138D" w:rsidP="0000499E">
      <w:pPr>
        <w:spacing w:after="0"/>
        <w:rPr>
          <w:lang w:eastAsia="en-AU"/>
        </w:rPr>
      </w:pPr>
      <w:r>
        <w:rPr>
          <w:lang w:eastAsia="en-AU"/>
        </w:rPr>
        <w:br w:type="page"/>
      </w:r>
    </w:p>
    <w:p w14:paraId="1C15C683" w14:textId="77777777" w:rsidR="004F64D8" w:rsidRDefault="004F64D8" w:rsidP="004F64D8">
      <w:pPr>
        <w:pStyle w:val="Heading1"/>
      </w:pPr>
      <w:bookmarkStart w:id="4" w:name="_Toc15557910"/>
      <w:r>
        <w:lastRenderedPageBreak/>
        <w:t>School funding appropriations</w:t>
      </w:r>
      <w:bookmarkEnd w:id="4"/>
    </w:p>
    <w:p w14:paraId="1C113085" w14:textId="77777777" w:rsidR="00CF3520" w:rsidRDefault="00CF3520" w:rsidP="00CF3520">
      <w:pPr>
        <w:rPr>
          <w:lang w:eastAsia="en-AU"/>
        </w:rPr>
      </w:pPr>
      <w:r>
        <w:rPr>
          <w:lang w:eastAsia="en-AU"/>
        </w:rPr>
        <w:t xml:space="preserve">Funding is appropriated to Queensland state schools from state and federal sources to meet recurrent operating costs and student needs, and to support implementation of specific programs and initiatives. This includes information technology support, asset maintenance and minor infrastructure and capital works. The department publishes online a list of all </w:t>
      </w:r>
      <w:hyperlink r:id="rId11" w:history="1">
        <w:r w:rsidRPr="00E01DDF">
          <w:rPr>
            <w:rStyle w:val="Hyperlink"/>
            <w:lang w:eastAsia="en-AU"/>
          </w:rPr>
          <w:t>school appropriations</w:t>
        </w:r>
      </w:hyperlink>
      <w:r>
        <w:rPr>
          <w:lang w:eastAsia="en-AU"/>
        </w:rPr>
        <w:t>.</w:t>
      </w:r>
    </w:p>
    <w:p w14:paraId="3C7B5139" w14:textId="77777777" w:rsidR="00CF3520" w:rsidRDefault="00CF3520" w:rsidP="00CF3520">
      <w:pPr>
        <w:rPr>
          <w:lang w:eastAsia="en-AU"/>
        </w:rPr>
      </w:pPr>
      <w:r>
        <w:rPr>
          <w:lang w:eastAsia="en-AU"/>
        </w:rPr>
        <w:t xml:space="preserve">Funding is paid to schools (or host schools) </w:t>
      </w:r>
      <w:r w:rsidRPr="00C87014">
        <w:rPr>
          <w:lang w:eastAsia="en-AU"/>
        </w:rPr>
        <w:t>regularly throughout the year depending upon the specific terms of the appropriation</w:t>
      </w:r>
      <w:r>
        <w:rPr>
          <w:lang w:eastAsia="en-AU"/>
        </w:rPr>
        <w:t xml:space="preserve">. </w:t>
      </w:r>
      <w:r w:rsidRPr="004B3A85">
        <w:rPr>
          <w:lang w:eastAsia="en-AU"/>
        </w:rPr>
        <w:t xml:space="preserve">Schools receive main operating payments once per </w:t>
      </w:r>
      <w:r>
        <w:rPr>
          <w:lang w:eastAsia="en-AU"/>
        </w:rPr>
        <w:t>t</w:t>
      </w:r>
      <w:r w:rsidRPr="004B3A85">
        <w:rPr>
          <w:lang w:eastAsia="en-AU"/>
        </w:rPr>
        <w:t xml:space="preserve">erm, and </w:t>
      </w:r>
      <w:r>
        <w:rPr>
          <w:lang w:eastAsia="en-AU"/>
        </w:rPr>
        <w:t xml:space="preserve">receive </w:t>
      </w:r>
      <w:r w:rsidRPr="004B3A85">
        <w:rPr>
          <w:lang w:eastAsia="en-AU"/>
        </w:rPr>
        <w:t xml:space="preserve">other program payments in </w:t>
      </w:r>
      <w:r>
        <w:rPr>
          <w:lang w:eastAsia="en-AU"/>
        </w:rPr>
        <w:t>accordance with program specifications (e.g. monthly or quarterly)</w:t>
      </w:r>
      <w:r w:rsidRPr="004B3A85">
        <w:rPr>
          <w:lang w:eastAsia="en-AU"/>
        </w:rPr>
        <w:t xml:space="preserve">, totalling </w:t>
      </w:r>
      <w:r>
        <w:rPr>
          <w:lang w:eastAsia="en-AU"/>
        </w:rPr>
        <w:t xml:space="preserve">a possible </w:t>
      </w:r>
      <w:r w:rsidRPr="004B3A85">
        <w:rPr>
          <w:lang w:eastAsia="en-AU"/>
        </w:rPr>
        <w:t xml:space="preserve">16 </w:t>
      </w:r>
      <w:r>
        <w:rPr>
          <w:lang w:eastAsia="en-AU"/>
        </w:rPr>
        <w:t xml:space="preserve">appropriation </w:t>
      </w:r>
      <w:r w:rsidRPr="004B3A85">
        <w:rPr>
          <w:lang w:eastAsia="en-AU"/>
        </w:rPr>
        <w:t>payments per year</w:t>
      </w:r>
      <w:r>
        <w:rPr>
          <w:lang w:eastAsia="en-AU"/>
        </w:rPr>
        <w:t>.</w:t>
      </w:r>
      <w:r w:rsidRPr="004B3A85">
        <w:t xml:space="preserve"> </w:t>
      </w:r>
      <w:r>
        <w:t>The o</w:t>
      </w:r>
      <w:r>
        <w:rPr>
          <w:lang w:eastAsia="en-AU"/>
        </w:rPr>
        <w:t xml:space="preserve">nline </w:t>
      </w:r>
      <w:r w:rsidRPr="004B3A85">
        <w:rPr>
          <w:lang w:eastAsia="en-AU"/>
        </w:rPr>
        <w:t xml:space="preserve">profiles provide guidance on </w:t>
      </w:r>
      <w:r>
        <w:rPr>
          <w:lang w:eastAsia="en-AU"/>
        </w:rPr>
        <w:t>payment timing for each appropriation</w:t>
      </w:r>
      <w:r w:rsidRPr="004B3A85">
        <w:rPr>
          <w:lang w:eastAsia="en-AU"/>
        </w:rPr>
        <w:t>.</w:t>
      </w:r>
    </w:p>
    <w:p w14:paraId="61E7D6DD" w14:textId="77777777" w:rsidR="00CF3520" w:rsidRDefault="00CF3520" w:rsidP="00CF3520">
      <w:pPr>
        <w:rPr>
          <w:lang w:eastAsia="en-AU"/>
        </w:rPr>
      </w:pPr>
      <w:r>
        <w:rPr>
          <w:lang w:eastAsia="en-AU"/>
        </w:rPr>
        <w:t>Appropriations are categorised as:</w:t>
      </w:r>
    </w:p>
    <w:p w14:paraId="162AD05A" w14:textId="5E1650B1" w:rsidR="00CF3520" w:rsidRPr="004A20A4" w:rsidRDefault="00CF3520" w:rsidP="00CF3520">
      <w:pPr>
        <w:pStyle w:val="ListParagraph"/>
        <w:numPr>
          <w:ilvl w:val="0"/>
          <w:numId w:val="56"/>
        </w:numPr>
        <w:rPr>
          <w:lang w:val="en-GB"/>
        </w:rPr>
      </w:pPr>
      <w:r w:rsidRPr="004A20A4">
        <w:rPr>
          <w:lang w:val="en-GB"/>
        </w:rPr>
        <w:t xml:space="preserve">core funding </w:t>
      </w:r>
      <w:r w:rsidR="00B62E29">
        <w:rPr>
          <w:lang w:val="en-GB"/>
        </w:rPr>
        <w:t>–</w:t>
      </w:r>
      <w:r>
        <w:rPr>
          <w:lang w:val="en-GB"/>
        </w:rPr>
        <w:t xml:space="preserve"> </w:t>
      </w:r>
      <w:r w:rsidRPr="004A20A4">
        <w:rPr>
          <w:lang w:val="en-GB"/>
        </w:rPr>
        <w:t>that does not require financial acquittals</w:t>
      </w:r>
      <w:r w:rsidR="00A86496">
        <w:rPr>
          <w:lang w:val="en-GB"/>
        </w:rPr>
        <w:t xml:space="preserve"> and</w:t>
      </w:r>
    </w:p>
    <w:p w14:paraId="0387CE09" w14:textId="2299E511" w:rsidR="00CF3520" w:rsidRPr="004A20A4" w:rsidRDefault="00CF3520" w:rsidP="00CF3520">
      <w:pPr>
        <w:pStyle w:val="ListParagraph"/>
        <w:numPr>
          <w:ilvl w:val="0"/>
          <w:numId w:val="56"/>
        </w:numPr>
        <w:rPr>
          <w:lang w:val="en-GB"/>
        </w:rPr>
      </w:pPr>
      <w:r w:rsidRPr="004A20A4">
        <w:rPr>
          <w:lang w:val="en-GB"/>
        </w:rPr>
        <w:t>targeted</w:t>
      </w:r>
      <w:r w:rsidR="005C353E">
        <w:rPr>
          <w:lang w:val="en-GB"/>
        </w:rPr>
        <w:t xml:space="preserve"> funding which must be spent for</w:t>
      </w:r>
      <w:r w:rsidRPr="004A20A4">
        <w:rPr>
          <w:lang w:val="en-GB"/>
        </w:rPr>
        <w:t xml:space="preserve"> the specified purpose and accounted for separately.</w:t>
      </w:r>
    </w:p>
    <w:p w14:paraId="0BF7F1BC" w14:textId="77777777" w:rsidR="00CF3520" w:rsidRDefault="00CF3520" w:rsidP="00CF3520">
      <w:pPr>
        <w:rPr>
          <w:lang w:eastAsia="en-AU"/>
        </w:rPr>
      </w:pPr>
      <w:r>
        <w:rPr>
          <w:lang w:eastAsia="en-AU"/>
        </w:rPr>
        <w:t xml:space="preserve">Some core and targeted funding </w:t>
      </w:r>
      <w:proofErr w:type="gramStart"/>
      <w:r>
        <w:rPr>
          <w:lang w:eastAsia="en-AU"/>
        </w:rPr>
        <w:t>requires</w:t>
      </w:r>
      <w:proofErr w:type="gramEnd"/>
      <w:r>
        <w:rPr>
          <w:lang w:eastAsia="en-AU"/>
        </w:rPr>
        <w:t xml:space="preserve"> an application by the school. Both core and targeted appropriations are used to address student disadvantage.</w:t>
      </w:r>
    </w:p>
    <w:p w14:paraId="42017132" w14:textId="77777777" w:rsidR="00CF3520" w:rsidRDefault="00CF3520" w:rsidP="00CF3520">
      <w:pPr>
        <w:rPr>
          <w:lang w:eastAsia="en-AU"/>
        </w:rPr>
      </w:pPr>
      <w:r w:rsidRPr="003C56B4">
        <w:rPr>
          <w:lang w:eastAsia="en-AU"/>
        </w:rPr>
        <w:t xml:space="preserve">The formulae underpinning school appropriations depend on identification of specific school and student needs. </w:t>
      </w:r>
      <w:r w:rsidRPr="004D240C">
        <w:rPr>
          <w:lang w:eastAsia="en-AU"/>
        </w:rPr>
        <w:t>Different rates apply depending on the characteristics of each school</w:t>
      </w:r>
      <w:r>
        <w:rPr>
          <w:lang w:eastAsia="en-AU"/>
        </w:rPr>
        <w:t xml:space="preserve">. </w:t>
      </w:r>
      <w:proofErr w:type="gramStart"/>
      <w:r>
        <w:rPr>
          <w:lang w:eastAsia="en-AU"/>
        </w:rPr>
        <w:t>Also</w:t>
      </w:r>
      <w:proofErr w:type="gramEnd"/>
      <w:r>
        <w:rPr>
          <w:lang w:eastAsia="en-AU"/>
        </w:rPr>
        <w:t xml:space="preserve"> different </w:t>
      </w:r>
      <w:r w:rsidRPr="003C56B4">
        <w:rPr>
          <w:lang w:eastAsia="en-AU"/>
        </w:rPr>
        <w:t>school types and groups of schools are eligible for different appropriations.</w:t>
      </w:r>
    </w:p>
    <w:p w14:paraId="4C6051F9" w14:textId="77777777" w:rsidR="00CF3520" w:rsidRDefault="00CF3520" w:rsidP="00CF3520">
      <w:pPr>
        <w:spacing w:after="0"/>
        <w:rPr>
          <w:lang w:eastAsia="en-AU"/>
        </w:rPr>
      </w:pPr>
      <w:r w:rsidRPr="001A5ECF">
        <w:rPr>
          <w:lang w:eastAsia="en-AU"/>
        </w:rPr>
        <w:t xml:space="preserve">Some school appropriation formulae </w:t>
      </w:r>
      <w:r>
        <w:rPr>
          <w:lang w:eastAsia="en-AU"/>
        </w:rPr>
        <w:t xml:space="preserve">may </w:t>
      </w:r>
      <w:r w:rsidRPr="001A5ECF">
        <w:rPr>
          <w:lang w:eastAsia="en-AU"/>
        </w:rPr>
        <w:t xml:space="preserve">include one or more base per student and/or base per school amounts. </w:t>
      </w:r>
      <w:r>
        <w:rPr>
          <w:lang w:eastAsia="en-AU"/>
        </w:rPr>
        <w:t>T</w:t>
      </w:r>
      <w:r w:rsidRPr="001A5ECF">
        <w:rPr>
          <w:lang w:eastAsia="en-AU"/>
        </w:rPr>
        <w:t xml:space="preserve">he annual base per student amount </w:t>
      </w:r>
      <w:r>
        <w:rPr>
          <w:lang w:eastAsia="en-AU"/>
        </w:rPr>
        <w:t xml:space="preserve">may be </w:t>
      </w:r>
      <w:r w:rsidRPr="001A5ECF">
        <w:rPr>
          <w:lang w:eastAsia="en-AU"/>
        </w:rPr>
        <w:t>determined by the budgeted annual allocation for all schools in a particular year</w:t>
      </w:r>
      <w:r>
        <w:rPr>
          <w:lang w:eastAsia="en-AU"/>
        </w:rPr>
        <w:t>.</w:t>
      </w:r>
      <w:r w:rsidRPr="001A5ECF">
        <w:rPr>
          <w:lang w:eastAsia="en-AU"/>
        </w:rPr>
        <w:t xml:space="preserve"> </w:t>
      </w:r>
      <w:r>
        <w:rPr>
          <w:lang w:eastAsia="en-AU"/>
        </w:rPr>
        <w:t xml:space="preserve">For example, there is an annual state-wide budget allocated to support Indigenous students to be enrolled, engaged and achieving in school, and progressing at the same rate as non-Indigenous students. Funding is provided to schools from this budget on a needs-basis taking into consideration a number of factors including a school’s Indigenous student enrolment. </w:t>
      </w:r>
      <w:r w:rsidRPr="001A5ECF">
        <w:rPr>
          <w:lang w:eastAsia="en-AU"/>
        </w:rPr>
        <w:t xml:space="preserve">In some </w:t>
      </w:r>
      <w:proofErr w:type="gramStart"/>
      <w:r w:rsidRPr="001A5ECF">
        <w:rPr>
          <w:lang w:eastAsia="en-AU"/>
        </w:rPr>
        <w:t>cases</w:t>
      </w:r>
      <w:proofErr w:type="gramEnd"/>
      <w:r w:rsidRPr="001A5ECF">
        <w:rPr>
          <w:lang w:eastAsia="en-AU"/>
        </w:rPr>
        <w:t xml:space="preserve"> the base per student amount is combined with other factors in the funding calculation (e.g. </w:t>
      </w:r>
      <w:r w:rsidRPr="007C6E5A">
        <w:rPr>
          <w:lang w:eastAsia="en-AU"/>
        </w:rPr>
        <w:t xml:space="preserve">Index of Community Socio-Educational Advantage </w:t>
      </w:r>
      <w:r>
        <w:rPr>
          <w:lang w:eastAsia="en-AU"/>
        </w:rPr>
        <w:t>(</w:t>
      </w:r>
      <w:r w:rsidRPr="001A5ECF">
        <w:rPr>
          <w:lang w:eastAsia="en-AU"/>
        </w:rPr>
        <w:t>ICSEA</w:t>
      </w:r>
      <w:r>
        <w:rPr>
          <w:lang w:eastAsia="en-AU"/>
        </w:rPr>
        <w:t xml:space="preserve">) </w:t>
      </w:r>
      <w:r w:rsidRPr="001A5ECF">
        <w:rPr>
          <w:lang w:eastAsia="en-AU"/>
        </w:rPr>
        <w:t xml:space="preserve">weighted enrolments, locality index). Other components </w:t>
      </w:r>
      <w:r w:rsidRPr="001A5ECF">
        <w:rPr>
          <w:lang w:eastAsia="en-AU"/>
        </w:rPr>
        <w:lastRenderedPageBreak/>
        <w:t>include</w:t>
      </w:r>
      <w:r>
        <w:rPr>
          <w:lang w:eastAsia="en-AU"/>
        </w:rPr>
        <w:t>:</w:t>
      </w:r>
      <w:r w:rsidRPr="001A5ECF">
        <w:rPr>
          <w:lang w:eastAsia="en-AU"/>
        </w:rPr>
        <w:t xml:space="preserve"> funding equivalent to notional staffing entitlements; funding based on teacher relief costs; funding based on specific curriculum offerings or other eligibility criteria such as geographic location or size of school grounds; shared funding allocated to clusters of schools; or funding allocated on a regional basis.</w:t>
      </w:r>
    </w:p>
    <w:p w14:paraId="042FEA02" w14:textId="00020883" w:rsidR="00CC7890" w:rsidRDefault="00CC7890" w:rsidP="00CC7890">
      <w:pPr>
        <w:pStyle w:val="Heading2"/>
      </w:pPr>
      <w:bookmarkStart w:id="5" w:name="_Toc15557911"/>
      <w:r>
        <w:t>Core appropriations</w:t>
      </w:r>
      <w:bookmarkEnd w:id="5"/>
    </w:p>
    <w:p w14:paraId="7D55FFC4" w14:textId="77777777" w:rsidR="00B62E29" w:rsidRDefault="00B62E29" w:rsidP="00B62E29">
      <w:pPr>
        <w:rPr>
          <w:lang w:eastAsia="en-AU"/>
        </w:rPr>
      </w:pPr>
      <w:r w:rsidRPr="00CC7890">
        <w:rPr>
          <w:lang w:eastAsia="en-AU"/>
        </w:rPr>
        <w:t>Core appropriations</w:t>
      </w:r>
      <w:r>
        <w:rPr>
          <w:lang w:eastAsia="en-AU"/>
        </w:rPr>
        <w:t xml:space="preserve"> are provided to schools to meet operating expenses and student needs. There is considerable flexibility around school use of these funds. Core appropriations are categorised into general operating appropriations to meet general recurrent operating costs and other appropriations for specific programs or initiatives.</w:t>
      </w:r>
    </w:p>
    <w:p w14:paraId="67420194" w14:textId="77777777" w:rsidR="00B62E29" w:rsidRDefault="00B62E29" w:rsidP="00B62E29">
      <w:pPr>
        <w:rPr>
          <w:lang w:eastAsia="en-AU"/>
        </w:rPr>
      </w:pPr>
      <w:r w:rsidRPr="001A5ECF">
        <w:rPr>
          <w:lang w:eastAsia="en-AU"/>
        </w:rPr>
        <w:t xml:space="preserve">The main </w:t>
      </w:r>
      <w:r>
        <w:rPr>
          <w:lang w:eastAsia="en-AU"/>
        </w:rPr>
        <w:t>s</w:t>
      </w:r>
      <w:r w:rsidRPr="001A5ECF">
        <w:rPr>
          <w:lang w:eastAsia="en-AU"/>
        </w:rPr>
        <w:t xml:space="preserve">chool </w:t>
      </w:r>
      <w:r>
        <w:rPr>
          <w:lang w:eastAsia="en-AU"/>
        </w:rPr>
        <w:t>a</w:t>
      </w:r>
      <w:r w:rsidRPr="001A5ECF">
        <w:rPr>
          <w:lang w:eastAsia="en-AU"/>
        </w:rPr>
        <w:t>ppropriation assists schools to meet recurrent operating costs. All Queensland state schools, including Schools of Distance Education, are eligible for general operating appropriation funding</w:t>
      </w:r>
      <w:r>
        <w:rPr>
          <w:lang w:eastAsia="en-AU"/>
        </w:rPr>
        <w:t xml:space="preserve">. Some </w:t>
      </w:r>
      <w:r w:rsidRPr="001A5ECF">
        <w:rPr>
          <w:lang w:eastAsia="en-AU"/>
        </w:rPr>
        <w:t>100 smaller appropriation</w:t>
      </w:r>
      <w:r>
        <w:rPr>
          <w:lang w:eastAsia="en-AU"/>
        </w:rPr>
        <w:t xml:space="preserve"> categories exist to support specific </w:t>
      </w:r>
      <w:r w:rsidRPr="001A5ECF">
        <w:rPr>
          <w:lang w:eastAsia="en-AU"/>
        </w:rPr>
        <w:t xml:space="preserve">school </w:t>
      </w:r>
      <w:r>
        <w:rPr>
          <w:lang w:eastAsia="en-AU"/>
        </w:rPr>
        <w:t xml:space="preserve">or </w:t>
      </w:r>
      <w:r w:rsidRPr="001A5ECF">
        <w:rPr>
          <w:lang w:eastAsia="en-AU"/>
        </w:rPr>
        <w:t>student needs</w:t>
      </w:r>
      <w:r>
        <w:rPr>
          <w:lang w:eastAsia="en-AU"/>
        </w:rPr>
        <w:t xml:space="preserve"> and programs</w:t>
      </w:r>
      <w:r w:rsidRPr="001A5ECF">
        <w:rPr>
          <w:lang w:eastAsia="en-AU"/>
        </w:rPr>
        <w:t xml:space="preserve">. </w:t>
      </w:r>
      <w:r w:rsidRPr="00C87014">
        <w:rPr>
          <w:lang w:eastAsia="en-AU"/>
        </w:rPr>
        <w:t xml:space="preserve">The full set of core appropriations </w:t>
      </w:r>
      <w:r>
        <w:rPr>
          <w:lang w:eastAsia="en-AU"/>
        </w:rPr>
        <w:t xml:space="preserve">equals the </w:t>
      </w:r>
      <w:r w:rsidRPr="00C87014">
        <w:rPr>
          <w:lang w:eastAsia="en-AU"/>
        </w:rPr>
        <w:t xml:space="preserve">overall </w:t>
      </w:r>
      <w:r>
        <w:rPr>
          <w:lang w:eastAsia="en-AU"/>
        </w:rPr>
        <w:t xml:space="preserve">allocated </w:t>
      </w:r>
      <w:r w:rsidRPr="00C87014">
        <w:rPr>
          <w:lang w:eastAsia="en-AU"/>
        </w:rPr>
        <w:t xml:space="preserve">school funding budget </w:t>
      </w:r>
      <w:r>
        <w:rPr>
          <w:lang w:eastAsia="en-AU"/>
        </w:rPr>
        <w:t>that is managed flexibly by the school</w:t>
      </w:r>
      <w:r w:rsidRPr="001A5ECF">
        <w:rPr>
          <w:lang w:eastAsia="en-AU"/>
        </w:rPr>
        <w:t>.</w:t>
      </w:r>
    </w:p>
    <w:p w14:paraId="5FBD721B" w14:textId="12860B93" w:rsidR="00CC7890" w:rsidRDefault="00CC7890" w:rsidP="00CC7890">
      <w:pPr>
        <w:pStyle w:val="Heading2"/>
      </w:pPr>
      <w:bookmarkStart w:id="6" w:name="_Toc15557912"/>
      <w:r>
        <w:t>Targeted appropriations</w:t>
      </w:r>
      <w:bookmarkEnd w:id="6"/>
    </w:p>
    <w:p w14:paraId="536EE9A7" w14:textId="1735B995" w:rsidR="00B62E29" w:rsidRDefault="00B62E29" w:rsidP="00B62E29">
      <w:pPr>
        <w:rPr>
          <w:lang w:eastAsia="en-AU"/>
        </w:rPr>
      </w:pPr>
      <w:r w:rsidRPr="00CC7890">
        <w:rPr>
          <w:lang w:eastAsia="en-AU"/>
        </w:rPr>
        <w:t>Targeted appropriations</w:t>
      </w:r>
      <w:r>
        <w:rPr>
          <w:lang w:eastAsia="en-AU"/>
        </w:rPr>
        <w:t xml:space="preserve"> are provided to schools to meet specified outcomes such as enhancing educational outcomes or providing experiences for groups of students identified with specific needs. Targeted appropriations must be used for their specified purpose and may involve acquittal or accountability mechanisms including reporting publicly or</w:t>
      </w:r>
      <w:r w:rsidR="001A491F">
        <w:rPr>
          <w:lang w:eastAsia="en-AU"/>
        </w:rPr>
        <w:t xml:space="preserve"> to School Councils and/or P&amp;C a</w:t>
      </w:r>
      <w:r>
        <w:rPr>
          <w:lang w:eastAsia="en-AU"/>
        </w:rPr>
        <w:t>ssociations.</w:t>
      </w:r>
    </w:p>
    <w:p w14:paraId="657E098D" w14:textId="6C492CE0" w:rsidR="00CC7890" w:rsidRDefault="00CC7890" w:rsidP="00CC7890">
      <w:pPr>
        <w:pStyle w:val="Heading2"/>
      </w:pPr>
      <w:bookmarkStart w:id="7" w:name="_Toc15557913"/>
      <w:r>
        <w:t>Appropriations available by application</w:t>
      </w:r>
      <w:bookmarkEnd w:id="7"/>
    </w:p>
    <w:p w14:paraId="3A6DFB71" w14:textId="17279AB3" w:rsidR="008961E1" w:rsidRDefault="004F64D8">
      <w:pPr>
        <w:rPr>
          <w:lang w:eastAsia="en-AU"/>
        </w:rPr>
      </w:pPr>
      <w:r w:rsidRPr="00173973">
        <w:rPr>
          <w:lang w:eastAsia="en-AU"/>
        </w:rPr>
        <w:t xml:space="preserve">Most funding appropriations are calculated </w:t>
      </w:r>
      <w:r>
        <w:rPr>
          <w:lang w:eastAsia="en-AU"/>
        </w:rPr>
        <w:t xml:space="preserve">and paid </w:t>
      </w:r>
      <w:r w:rsidRPr="00173973">
        <w:rPr>
          <w:lang w:eastAsia="en-AU"/>
        </w:rPr>
        <w:t xml:space="preserve">automatically based on the school's eligibility as </w:t>
      </w:r>
      <w:r w:rsidR="00C1176C">
        <w:rPr>
          <w:lang w:eastAsia="en-AU"/>
        </w:rPr>
        <w:t xml:space="preserve">determined by each </w:t>
      </w:r>
      <w:r w:rsidRPr="00173973">
        <w:rPr>
          <w:lang w:eastAsia="en-AU"/>
        </w:rPr>
        <w:t xml:space="preserve">program’s policy. However, </w:t>
      </w:r>
      <w:r>
        <w:rPr>
          <w:lang w:eastAsia="en-AU"/>
        </w:rPr>
        <w:t>some</w:t>
      </w:r>
      <w:r w:rsidRPr="00173973">
        <w:rPr>
          <w:lang w:eastAsia="en-AU"/>
        </w:rPr>
        <w:t xml:space="preserve"> require specific application or expression of interest to receive funding.</w:t>
      </w:r>
      <w:r w:rsidR="00AB0B98">
        <w:rPr>
          <w:lang w:eastAsia="en-AU"/>
        </w:rPr>
        <w:t xml:space="preserve"> </w:t>
      </w:r>
      <w:r>
        <w:rPr>
          <w:lang w:eastAsia="en-AU"/>
        </w:rPr>
        <w:t xml:space="preserve">For further information, refer to the </w:t>
      </w:r>
      <w:hyperlink r:id="rId12" w:history="1">
        <w:r w:rsidRPr="00A6550E">
          <w:rPr>
            <w:rStyle w:val="Hyperlink"/>
            <w:lang w:eastAsia="en-AU"/>
          </w:rPr>
          <w:t>online school appropriation profiles</w:t>
        </w:r>
      </w:hyperlink>
      <w:r>
        <w:rPr>
          <w:lang w:eastAsia="en-AU"/>
        </w:rPr>
        <w:t>.</w:t>
      </w:r>
    </w:p>
    <w:p w14:paraId="58B604C4" w14:textId="77777777" w:rsidR="00D40465" w:rsidRDefault="00D40465">
      <w:pPr>
        <w:spacing w:after="0" w:line="240" w:lineRule="auto"/>
        <w:rPr>
          <w:rFonts w:eastAsia="MS Mincho" w:cs="Arial"/>
          <w:sz w:val="52"/>
          <w:szCs w:val="80"/>
          <w:lang w:val="en-GB"/>
        </w:rPr>
      </w:pPr>
      <w:r>
        <w:br w:type="page"/>
      </w:r>
    </w:p>
    <w:p w14:paraId="287D6215" w14:textId="570212D1" w:rsidR="00573BFD" w:rsidRDefault="00573BFD" w:rsidP="004F64D8">
      <w:pPr>
        <w:pStyle w:val="Heading1"/>
      </w:pPr>
      <w:bookmarkStart w:id="8" w:name="_Toc15557914"/>
      <w:r>
        <w:lastRenderedPageBreak/>
        <w:t>S</w:t>
      </w:r>
      <w:r w:rsidR="00901617">
        <w:t>chool s</w:t>
      </w:r>
      <w:r>
        <w:t>taffing</w:t>
      </w:r>
      <w:r w:rsidR="001C10C3">
        <w:t xml:space="preserve"> allocations</w:t>
      </w:r>
      <w:bookmarkEnd w:id="8"/>
    </w:p>
    <w:p w14:paraId="0C73340D" w14:textId="6A2A45E7" w:rsidR="00CF3520" w:rsidRDefault="00CF3520" w:rsidP="00CF3520">
      <w:pPr>
        <w:rPr>
          <w:lang w:eastAsia="en-AU"/>
        </w:rPr>
      </w:pPr>
      <w:r w:rsidRPr="00696B9C">
        <w:rPr>
          <w:lang w:eastAsia="en-AU"/>
        </w:rPr>
        <w:t xml:space="preserve">The majority of </w:t>
      </w:r>
      <w:r>
        <w:rPr>
          <w:lang w:eastAsia="en-AU"/>
        </w:rPr>
        <w:t xml:space="preserve">staffing </w:t>
      </w:r>
      <w:r w:rsidR="00717364">
        <w:rPr>
          <w:lang w:eastAsia="en-AU"/>
        </w:rPr>
        <w:t>resources</w:t>
      </w:r>
      <w:r w:rsidRPr="00696B9C">
        <w:rPr>
          <w:lang w:eastAsia="en-AU"/>
        </w:rPr>
        <w:t xml:space="preserve"> </w:t>
      </w:r>
      <w:r>
        <w:rPr>
          <w:lang w:eastAsia="en-AU"/>
        </w:rPr>
        <w:t xml:space="preserve">that flows </w:t>
      </w:r>
      <w:r w:rsidRPr="00696B9C">
        <w:rPr>
          <w:lang w:eastAsia="en-AU"/>
        </w:rPr>
        <w:t xml:space="preserve">to Queensland state schools is </w:t>
      </w:r>
      <w:r>
        <w:rPr>
          <w:lang w:eastAsia="en-AU"/>
        </w:rPr>
        <w:t xml:space="preserve">not paid as cash to the school but rather is </w:t>
      </w:r>
      <w:r w:rsidRPr="00696B9C">
        <w:rPr>
          <w:lang w:eastAsia="en-AU"/>
        </w:rPr>
        <w:t>delivered through notionally allocated full-time equi</w:t>
      </w:r>
      <w:r>
        <w:rPr>
          <w:lang w:eastAsia="en-AU"/>
        </w:rPr>
        <w:t xml:space="preserve">valent (FTE) staffing positions. The allocation of teachers and other staff is determined by formulae that </w:t>
      </w:r>
      <w:proofErr w:type="gramStart"/>
      <w:r>
        <w:rPr>
          <w:lang w:eastAsia="en-AU"/>
        </w:rPr>
        <w:t>take into account</w:t>
      </w:r>
      <w:proofErr w:type="gramEnd"/>
      <w:r>
        <w:rPr>
          <w:lang w:eastAsia="en-AU"/>
        </w:rPr>
        <w:t xml:space="preserve"> school</w:t>
      </w:r>
      <w:r w:rsidR="003D63E9">
        <w:rPr>
          <w:lang w:eastAsia="en-AU"/>
        </w:rPr>
        <w:t>s’</w:t>
      </w:r>
      <w:r>
        <w:rPr>
          <w:lang w:eastAsia="en-AU"/>
        </w:rPr>
        <w:t xml:space="preserve"> enrolment profile</w:t>
      </w:r>
      <w:r w:rsidR="003D63E9">
        <w:rPr>
          <w:lang w:eastAsia="en-AU"/>
        </w:rPr>
        <w:t>s</w:t>
      </w:r>
      <w:r>
        <w:rPr>
          <w:lang w:eastAsia="en-AU"/>
        </w:rPr>
        <w:t xml:space="preserve"> and other characteristics. Principals are able to flexibly use staffing allocations to meet the needs of the school, </w:t>
      </w:r>
      <w:r w:rsidRPr="009A39A2">
        <w:rPr>
          <w:lang w:eastAsia="en-AU"/>
        </w:rPr>
        <w:t>within the context of legislative, industrial and departmental policy frameworks</w:t>
      </w:r>
      <w:r>
        <w:rPr>
          <w:lang w:eastAsia="en-AU"/>
        </w:rPr>
        <w:t>.</w:t>
      </w:r>
    </w:p>
    <w:p w14:paraId="3AA09C68" w14:textId="77777777" w:rsidR="00CF3520" w:rsidRDefault="00CF3520" w:rsidP="00CF3520">
      <w:pPr>
        <w:rPr>
          <w:lang w:eastAsia="en-AU"/>
        </w:rPr>
      </w:pPr>
      <w:r>
        <w:rPr>
          <w:lang w:eastAsia="en-AU"/>
        </w:rPr>
        <w:t>School staffing allocations are categorised as:</w:t>
      </w:r>
    </w:p>
    <w:p w14:paraId="3E9D18C6" w14:textId="135A08D0" w:rsidR="00CF3520" w:rsidRPr="004A20A4" w:rsidRDefault="00BD1AD6" w:rsidP="00CF3520">
      <w:pPr>
        <w:pStyle w:val="ListParagraph"/>
        <w:numPr>
          <w:ilvl w:val="0"/>
          <w:numId w:val="56"/>
        </w:numPr>
        <w:rPr>
          <w:lang w:val="en-GB"/>
        </w:rPr>
      </w:pPr>
      <w:r>
        <w:rPr>
          <w:lang w:val="en-GB"/>
        </w:rPr>
        <w:t>core staffing allocations</w:t>
      </w:r>
      <w:r w:rsidR="00CF3520" w:rsidRPr="004A20A4">
        <w:rPr>
          <w:lang w:val="en-GB"/>
        </w:rPr>
        <w:t xml:space="preserve"> or</w:t>
      </w:r>
    </w:p>
    <w:p w14:paraId="2BCC3959" w14:textId="77777777" w:rsidR="00CF3520" w:rsidRPr="004A20A4" w:rsidRDefault="00CF3520" w:rsidP="00CF3520">
      <w:pPr>
        <w:pStyle w:val="ListParagraph"/>
        <w:numPr>
          <w:ilvl w:val="0"/>
          <w:numId w:val="56"/>
        </w:numPr>
        <w:rPr>
          <w:lang w:val="en-GB"/>
        </w:rPr>
      </w:pPr>
      <w:r w:rsidRPr="004A20A4">
        <w:rPr>
          <w:lang w:val="en-GB"/>
        </w:rPr>
        <w:t>targeted staffing allocations.</w:t>
      </w:r>
    </w:p>
    <w:p w14:paraId="54C0E7DE" w14:textId="77777777" w:rsidR="00CF3520" w:rsidRDefault="00CF3520" w:rsidP="00CF3520">
      <w:pPr>
        <w:pStyle w:val="Heading2"/>
      </w:pPr>
      <w:bookmarkStart w:id="9" w:name="_Toc15557915"/>
      <w:r>
        <w:t>Core staffing allocations</w:t>
      </w:r>
      <w:bookmarkEnd w:id="9"/>
    </w:p>
    <w:p w14:paraId="078C1601" w14:textId="61420870" w:rsidR="00CF3520" w:rsidRDefault="00CF3520" w:rsidP="00CF3520">
      <w:pPr>
        <w:rPr>
          <w:lang w:eastAsia="en-AU"/>
        </w:rPr>
      </w:pPr>
      <w:r>
        <w:rPr>
          <w:lang w:eastAsia="en-AU"/>
        </w:rPr>
        <w:t>The core notional allocation of staffing resources for all schools is intended to support diverse levels of student need. School allocations for both teaching and non-teaching staff are determined by a range of approved methodologies. School staffing allocations are generally determined on the basis of enrolments as at the eighth day of the school year (Day 8), confirming the number of classroom te</w:t>
      </w:r>
      <w:r w:rsidR="00BD1AD6">
        <w:rPr>
          <w:lang w:eastAsia="en-AU"/>
        </w:rPr>
        <w:t>achers, promotional positions (heads of department and deputy p</w:t>
      </w:r>
      <w:r>
        <w:rPr>
          <w:lang w:eastAsia="en-AU"/>
        </w:rPr>
        <w:t>rincipals), teacher aides and administrative support allocations.</w:t>
      </w:r>
    </w:p>
    <w:p w14:paraId="2434DC7D" w14:textId="0D6E777F" w:rsidR="00CF3520" w:rsidRDefault="00CF3520" w:rsidP="00CF3520">
      <w:pPr>
        <w:rPr>
          <w:lang w:eastAsia="en-AU"/>
        </w:rPr>
      </w:pPr>
      <w:r>
        <w:rPr>
          <w:lang w:eastAsia="en-AU"/>
        </w:rPr>
        <w:t xml:space="preserve">Principals have flexibility to determine the most appropriate mix of their </w:t>
      </w:r>
      <w:r w:rsidRPr="00696B9C">
        <w:rPr>
          <w:lang w:eastAsia="en-AU"/>
        </w:rPr>
        <w:t>allocated staffing resources</w:t>
      </w:r>
      <w:r>
        <w:rPr>
          <w:lang w:eastAsia="en-AU"/>
        </w:rPr>
        <w:t>, including being able to consume resources at different times during the year, as different types or classification of positions and/or convert allocations to cash. This flexibility exists within a well-defined industrial relations framework that involves local-level consultation. Schools may convert core staffing allocations to cash using processes managed by the department’s Human Resources Branch together with information provided by regionally-based human resources teams to</w:t>
      </w:r>
      <w:r w:rsidRPr="00F558A5">
        <w:rPr>
          <w:lang w:eastAsia="en-AU"/>
        </w:rPr>
        <w:t xml:space="preserve"> ensure arrangements comply with relevant legislative, industrial and departmental policy requirements</w:t>
      </w:r>
      <w:r>
        <w:rPr>
          <w:lang w:eastAsia="en-AU"/>
        </w:rPr>
        <w:t>.</w:t>
      </w:r>
    </w:p>
    <w:p w14:paraId="1AFB5CC3" w14:textId="49664262" w:rsidR="00CF3520" w:rsidRDefault="00CF3520" w:rsidP="00CF3520">
      <w:pPr>
        <w:rPr>
          <w:lang w:eastAsia="en-AU"/>
        </w:rPr>
      </w:pPr>
      <w:r>
        <w:rPr>
          <w:lang w:eastAsia="en-AU"/>
        </w:rPr>
        <w:t xml:space="preserve">Each year, it is the responsibility of principals to manage the school staffing establishment in accordance with teaching and support staff allocations and relevant industrial instruments. The core establishment can be supplemented </w:t>
      </w:r>
      <w:r>
        <w:rPr>
          <w:lang w:eastAsia="en-AU"/>
        </w:rPr>
        <w:lastRenderedPageBreak/>
        <w:t xml:space="preserve">through school-funded positions. </w:t>
      </w:r>
      <w:r w:rsidRPr="009A39A2">
        <w:rPr>
          <w:lang w:eastAsia="en-AU"/>
        </w:rPr>
        <w:t>A multi-year forecaster is pro</w:t>
      </w:r>
      <w:r w:rsidR="00D25FE1">
        <w:rPr>
          <w:lang w:eastAsia="en-AU"/>
        </w:rPr>
        <w:t>vided to schools to assist with</w:t>
      </w:r>
      <w:r>
        <w:rPr>
          <w:lang w:eastAsia="en-AU"/>
        </w:rPr>
        <w:t xml:space="preserve"> </w:t>
      </w:r>
      <w:r w:rsidRPr="009A39A2">
        <w:rPr>
          <w:lang w:eastAsia="en-AU"/>
        </w:rPr>
        <w:t>workforce planning.</w:t>
      </w:r>
    </w:p>
    <w:p w14:paraId="382264E8" w14:textId="77777777" w:rsidR="00CF3520" w:rsidRDefault="00CF3520" w:rsidP="00CF3520">
      <w:pPr>
        <w:pStyle w:val="Heading2"/>
      </w:pPr>
      <w:bookmarkStart w:id="10" w:name="_Toc15557916"/>
      <w:r>
        <w:t>Targeted staffing allocations</w:t>
      </w:r>
      <w:bookmarkEnd w:id="10"/>
    </w:p>
    <w:p w14:paraId="1A85D760" w14:textId="77777777" w:rsidR="00CF3520" w:rsidRDefault="00CF3520" w:rsidP="00CF3520">
      <w:pPr>
        <w:rPr>
          <w:lang w:eastAsia="en-AU"/>
        </w:rPr>
      </w:pPr>
      <w:r>
        <w:rPr>
          <w:lang w:eastAsia="en-AU"/>
        </w:rPr>
        <w:t xml:space="preserve">To help address the diverse learning needs of students, targeted staffing allocations are provided directly to schools or to regions. For the commencement of the school year, schools are provided with indicative targeted resources based on forecast enrolment numbers provided the prior year. Once enrolment numbers are confirmed on Day 8, targeted resourcing allocations are adjusted accordingly. The </w:t>
      </w:r>
      <w:r w:rsidRPr="009A39A2">
        <w:rPr>
          <w:lang w:eastAsia="en-AU"/>
        </w:rPr>
        <w:t xml:space="preserve">formula-driven </w:t>
      </w:r>
      <w:r>
        <w:rPr>
          <w:lang w:eastAsia="en-AU"/>
        </w:rPr>
        <w:t xml:space="preserve">resource </w:t>
      </w:r>
      <w:r w:rsidRPr="009A39A2">
        <w:rPr>
          <w:lang w:eastAsia="en-AU"/>
        </w:rPr>
        <w:t xml:space="preserve">allocation models </w:t>
      </w:r>
      <w:r>
        <w:rPr>
          <w:lang w:eastAsia="en-AU"/>
        </w:rPr>
        <w:t xml:space="preserve">used to calculate targeted staffing entitlements are the Students with Disability allocative model and </w:t>
      </w:r>
      <w:r w:rsidRPr="000738A0">
        <w:rPr>
          <w:lang w:eastAsia="en-AU"/>
        </w:rPr>
        <w:t xml:space="preserve">Whole School Support </w:t>
      </w:r>
      <w:r>
        <w:rPr>
          <w:lang w:eastAsia="en-AU"/>
        </w:rPr>
        <w:t>–</w:t>
      </w:r>
      <w:r w:rsidRPr="000738A0">
        <w:rPr>
          <w:lang w:eastAsia="en-AU"/>
        </w:rPr>
        <w:t xml:space="preserve"> Student Learning Resources (WSS-SLR</w:t>
      </w:r>
      <w:r>
        <w:rPr>
          <w:lang w:eastAsia="en-AU"/>
        </w:rPr>
        <w:t>) model.</w:t>
      </w:r>
    </w:p>
    <w:p w14:paraId="1BA42F1B" w14:textId="3736C87F" w:rsidR="00CF3520" w:rsidRDefault="00CF3520" w:rsidP="00CF3520">
      <w:pPr>
        <w:rPr>
          <w:lang w:eastAsia="en-AU"/>
        </w:rPr>
      </w:pPr>
      <w:r>
        <w:rPr>
          <w:lang w:eastAsia="en-AU"/>
        </w:rPr>
        <w:t>Staffing a</w:t>
      </w:r>
      <w:r w:rsidRPr="007C6E5A">
        <w:rPr>
          <w:lang w:eastAsia="en-AU"/>
        </w:rPr>
        <w:t xml:space="preserve">llocations </w:t>
      </w:r>
      <w:r>
        <w:rPr>
          <w:lang w:eastAsia="en-AU"/>
        </w:rPr>
        <w:t xml:space="preserve">to address student needs </w:t>
      </w:r>
      <w:r w:rsidRPr="007C6E5A">
        <w:rPr>
          <w:lang w:eastAsia="en-AU"/>
        </w:rPr>
        <w:t xml:space="preserve">include weightings based on factors such as Socio-Economic Status (SES), Index of Community Socio-Educational Advantage (ICSEA), length of time in Australia for new arrivals/refugees, and </w:t>
      </w:r>
      <w:r>
        <w:rPr>
          <w:lang w:eastAsia="en-AU"/>
        </w:rPr>
        <w:t xml:space="preserve">the level of educational adjustment required for </w:t>
      </w:r>
      <w:r w:rsidRPr="007C6E5A">
        <w:rPr>
          <w:lang w:eastAsia="en-AU"/>
        </w:rPr>
        <w:t>students with disabilit</w:t>
      </w:r>
      <w:r>
        <w:rPr>
          <w:lang w:eastAsia="en-AU"/>
        </w:rPr>
        <w:t>y</w:t>
      </w:r>
      <w:r w:rsidRPr="007C6E5A">
        <w:rPr>
          <w:lang w:eastAsia="en-AU"/>
        </w:rPr>
        <w:t>.</w:t>
      </w:r>
    </w:p>
    <w:p w14:paraId="04AFDF40" w14:textId="13D6F945" w:rsidR="00CF3520" w:rsidRDefault="00CF3520" w:rsidP="00CF3520">
      <w:pPr>
        <w:rPr>
          <w:lang w:eastAsia="en-AU"/>
        </w:rPr>
      </w:pPr>
      <w:r>
        <w:rPr>
          <w:lang w:eastAsia="en-AU"/>
        </w:rPr>
        <w:t>Specialist staffing provided as part of the targeted resourcing is allocated to schools</w:t>
      </w:r>
      <w:r w:rsidR="00E97DA4">
        <w:rPr>
          <w:lang w:eastAsia="en-AU"/>
        </w:rPr>
        <w:t xml:space="preserve"> </w:t>
      </w:r>
      <w:r>
        <w:rPr>
          <w:lang w:eastAsia="en-AU"/>
        </w:rPr>
        <w:t>based on assessment of data and emerging local need. This approach is advantageous as it influences the development of schooling models such as ‘clustering’ and ‘hosting’ to share resources across schools. Specialist staff</w:t>
      </w:r>
      <w:r w:rsidR="00717364">
        <w:rPr>
          <w:lang w:eastAsia="en-AU"/>
        </w:rPr>
        <w:t>ing</w:t>
      </w:r>
      <w:r>
        <w:rPr>
          <w:lang w:eastAsia="en-AU"/>
        </w:rPr>
        <w:t xml:space="preserve"> </w:t>
      </w:r>
      <w:r w:rsidR="00750C12">
        <w:rPr>
          <w:lang w:eastAsia="en-AU"/>
        </w:rPr>
        <w:t xml:space="preserve">resources </w:t>
      </w:r>
      <w:r>
        <w:rPr>
          <w:lang w:eastAsia="en-AU"/>
        </w:rPr>
        <w:t xml:space="preserve">are allocated for various categories of students identified as having additional educational support needs (for example, students with disability and students for whom </w:t>
      </w:r>
      <w:r w:rsidRPr="00443D48">
        <w:rPr>
          <w:lang w:eastAsia="en-AU"/>
        </w:rPr>
        <w:t xml:space="preserve">English is an additional language or dialect </w:t>
      </w:r>
      <w:r>
        <w:rPr>
          <w:lang w:eastAsia="en-AU"/>
        </w:rPr>
        <w:t>(EAL/D)).</w:t>
      </w:r>
    </w:p>
    <w:p w14:paraId="423D790F" w14:textId="49BFEFA8" w:rsidR="00B45A4A" w:rsidRDefault="00CA0C21" w:rsidP="00CC7890">
      <w:pPr>
        <w:pStyle w:val="Heading2"/>
      </w:pPr>
      <w:bookmarkStart w:id="11" w:name="_Toc15557917"/>
      <w:r>
        <w:t>Staffing</w:t>
      </w:r>
      <w:r w:rsidR="00230FB3">
        <w:t xml:space="preserve"> and</w:t>
      </w:r>
      <w:r>
        <w:t xml:space="preserve"> r</w:t>
      </w:r>
      <w:r w:rsidR="00B45A4A">
        <w:t>esources available by application</w:t>
      </w:r>
      <w:bookmarkEnd w:id="11"/>
    </w:p>
    <w:p w14:paraId="71CBE621" w14:textId="2BE009AE" w:rsidR="00CF3520" w:rsidRDefault="00CF3520" w:rsidP="00CF3520">
      <w:pPr>
        <w:rPr>
          <w:lang w:eastAsia="en-AU"/>
        </w:rPr>
      </w:pPr>
      <w:r>
        <w:rPr>
          <w:lang w:eastAsia="en-AU"/>
        </w:rPr>
        <w:t>Each region is allocated a funding pool as part of the allocative models to assist in responding to unique, emerging and complex situations in schools. Schools may apply to the regional office to access these funds if additional support is needed to manage local or complex issues, particularly those that arise during a school year. For example, this funding may be used for improved school capacity or additional focused teaching support.</w:t>
      </w:r>
    </w:p>
    <w:p w14:paraId="4E15839A" w14:textId="77777777" w:rsidR="00D853CC" w:rsidRDefault="00D853CC">
      <w:pPr>
        <w:spacing w:after="0" w:line="240" w:lineRule="auto"/>
        <w:rPr>
          <w:rFonts w:eastAsia="MS Mincho" w:cs="Arial"/>
          <w:sz w:val="52"/>
          <w:szCs w:val="80"/>
          <w:lang w:val="en-GB"/>
        </w:rPr>
      </w:pPr>
      <w:bookmarkStart w:id="12" w:name="_Toc15557918"/>
      <w:r>
        <w:br w:type="page"/>
      </w:r>
    </w:p>
    <w:p w14:paraId="1FE34F42" w14:textId="4CE025C3" w:rsidR="00D40465" w:rsidRDefault="00FA5E2A" w:rsidP="004F64D8">
      <w:pPr>
        <w:pStyle w:val="Heading1"/>
      </w:pPr>
      <w:r>
        <w:lastRenderedPageBreak/>
        <w:t>System-provided resources</w:t>
      </w:r>
      <w:bookmarkEnd w:id="12"/>
    </w:p>
    <w:p w14:paraId="1DF7EEA6" w14:textId="60252C49" w:rsidR="00D629FB" w:rsidRPr="00B56024" w:rsidRDefault="00D629FB" w:rsidP="00D629FB">
      <w:pPr>
        <w:rPr>
          <w:lang w:val="en-GB"/>
        </w:rPr>
      </w:pPr>
      <w:r w:rsidRPr="00B56024">
        <w:rPr>
          <w:lang w:val="en-GB"/>
        </w:rPr>
        <w:t xml:space="preserve">System-provided resources are provided ‘in kind’ by central and regional offices for all state schools. </w:t>
      </w:r>
      <w:r>
        <w:rPr>
          <w:lang w:val="en-GB"/>
        </w:rPr>
        <w:t>A broad array of s</w:t>
      </w:r>
      <w:r w:rsidRPr="00B56024">
        <w:rPr>
          <w:lang w:val="en-GB"/>
        </w:rPr>
        <w:t xml:space="preserve">ystem-provided </w:t>
      </w:r>
      <w:r>
        <w:rPr>
          <w:lang w:val="en-GB"/>
        </w:rPr>
        <w:t xml:space="preserve">support services and </w:t>
      </w:r>
      <w:r w:rsidRPr="00B56024">
        <w:rPr>
          <w:lang w:val="en-GB"/>
        </w:rPr>
        <w:t xml:space="preserve">resources </w:t>
      </w:r>
      <w:r>
        <w:rPr>
          <w:lang w:val="en-GB"/>
        </w:rPr>
        <w:t>are available to schools to support their operations. These include</w:t>
      </w:r>
      <w:r w:rsidRPr="00B56024">
        <w:rPr>
          <w:lang w:val="en-GB"/>
        </w:rPr>
        <w:t>:</w:t>
      </w:r>
    </w:p>
    <w:p w14:paraId="4B8B1B3D" w14:textId="77777777" w:rsidR="00D629FB" w:rsidRPr="00B56024" w:rsidRDefault="00D629FB" w:rsidP="00D629FB">
      <w:pPr>
        <w:pStyle w:val="ListParagraph"/>
        <w:numPr>
          <w:ilvl w:val="0"/>
          <w:numId w:val="56"/>
        </w:numPr>
        <w:rPr>
          <w:lang w:val="en-GB"/>
        </w:rPr>
      </w:pPr>
      <w:r w:rsidRPr="00B56024">
        <w:rPr>
          <w:lang w:val="en-GB"/>
        </w:rPr>
        <w:t xml:space="preserve">infrastructure </w:t>
      </w:r>
    </w:p>
    <w:p w14:paraId="32A0D132" w14:textId="77777777" w:rsidR="00D629FB" w:rsidRDefault="00D629FB" w:rsidP="00D629FB">
      <w:pPr>
        <w:pStyle w:val="ListParagraph"/>
        <w:numPr>
          <w:ilvl w:val="0"/>
          <w:numId w:val="56"/>
        </w:numPr>
        <w:rPr>
          <w:lang w:val="en-GB"/>
        </w:rPr>
      </w:pPr>
      <w:r>
        <w:rPr>
          <w:lang w:val="en-GB"/>
        </w:rPr>
        <w:t>i</w:t>
      </w:r>
      <w:r w:rsidRPr="004B5671">
        <w:rPr>
          <w:lang w:val="en-GB"/>
        </w:rPr>
        <w:t>nformation and communication technolog</w:t>
      </w:r>
      <w:r>
        <w:rPr>
          <w:lang w:val="en-GB"/>
        </w:rPr>
        <w:t>ies</w:t>
      </w:r>
    </w:p>
    <w:p w14:paraId="5E86436E" w14:textId="77777777" w:rsidR="00D629FB" w:rsidRDefault="00D629FB" w:rsidP="00D629FB">
      <w:pPr>
        <w:pStyle w:val="ListParagraph"/>
        <w:numPr>
          <w:ilvl w:val="0"/>
          <w:numId w:val="56"/>
        </w:numPr>
        <w:rPr>
          <w:lang w:val="en-GB"/>
        </w:rPr>
      </w:pPr>
      <w:r>
        <w:rPr>
          <w:lang w:val="en-GB"/>
        </w:rPr>
        <w:t>human resources</w:t>
      </w:r>
    </w:p>
    <w:p w14:paraId="5FD5ABC0" w14:textId="705B34FE" w:rsidR="00D629FB" w:rsidRPr="004B5671" w:rsidRDefault="00D629FB" w:rsidP="00D629FB">
      <w:pPr>
        <w:pStyle w:val="ListParagraph"/>
        <w:numPr>
          <w:ilvl w:val="0"/>
          <w:numId w:val="56"/>
        </w:numPr>
        <w:rPr>
          <w:lang w:val="en-GB"/>
        </w:rPr>
      </w:pPr>
      <w:r>
        <w:rPr>
          <w:lang w:val="en-GB"/>
        </w:rPr>
        <w:t>financial,</w:t>
      </w:r>
      <w:r w:rsidR="00717364">
        <w:rPr>
          <w:lang w:val="en-GB"/>
        </w:rPr>
        <w:t xml:space="preserve"> procurement and audit services</w:t>
      </w:r>
    </w:p>
    <w:p w14:paraId="232AC7F5" w14:textId="77777777" w:rsidR="00D629FB" w:rsidRPr="00172230" w:rsidRDefault="00D629FB" w:rsidP="00D629FB">
      <w:pPr>
        <w:pStyle w:val="ListParagraph"/>
        <w:numPr>
          <w:ilvl w:val="0"/>
          <w:numId w:val="56"/>
        </w:numPr>
      </w:pPr>
      <w:r>
        <w:rPr>
          <w:rFonts w:eastAsiaTheme="minorHAnsi"/>
          <w:lang w:val="en-GB"/>
        </w:rPr>
        <w:t xml:space="preserve">education and delivery support </w:t>
      </w:r>
      <w:r w:rsidRPr="00D45C2B">
        <w:rPr>
          <w:rFonts w:eastAsiaTheme="minorHAnsi"/>
          <w:lang w:val="en-GB"/>
        </w:rPr>
        <w:t>services and coordination.</w:t>
      </w:r>
    </w:p>
    <w:p w14:paraId="3B45C85D" w14:textId="659F3105" w:rsidR="00D629FB" w:rsidRDefault="00717364" w:rsidP="00D629FB">
      <w:pPr>
        <w:pStyle w:val="Heading2"/>
      </w:pPr>
      <w:bookmarkStart w:id="13" w:name="_Toc15557919"/>
      <w:r>
        <w:t>Infrastructure</w:t>
      </w:r>
      <w:bookmarkEnd w:id="13"/>
    </w:p>
    <w:p w14:paraId="7F2460C3" w14:textId="77777777" w:rsidR="00D629FB" w:rsidRDefault="00D629FB" w:rsidP="00D629FB">
      <w:pPr>
        <w:rPr>
          <w:lang w:eastAsia="en-AU"/>
        </w:rPr>
      </w:pPr>
      <w:r>
        <w:rPr>
          <w:lang w:eastAsia="en-AU"/>
        </w:rPr>
        <w:t xml:space="preserve">Major infrastructure funding is administered and coordinated centrally, whereas </w:t>
      </w:r>
      <w:r w:rsidRPr="00F5712E">
        <w:rPr>
          <w:lang w:eastAsia="en-AU"/>
        </w:rPr>
        <w:t>asset maintenance</w:t>
      </w:r>
      <w:r>
        <w:rPr>
          <w:lang w:eastAsia="en-AU"/>
        </w:rPr>
        <w:t xml:space="preserve"> and</w:t>
      </w:r>
      <w:r w:rsidRPr="00F5712E">
        <w:rPr>
          <w:lang w:eastAsia="en-AU"/>
        </w:rPr>
        <w:t xml:space="preserve"> minor infrastructure </w:t>
      </w:r>
      <w:r>
        <w:rPr>
          <w:lang w:eastAsia="en-AU"/>
        </w:rPr>
        <w:t>w</w:t>
      </w:r>
      <w:r w:rsidRPr="00F5712E">
        <w:rPr>
          <w:lang w:eastAsia="en-AU"/>
        </w:rPr>
        <w:t>orks</w:t>
      </w:r>
      <w:r>
        <w:rPr>
          <w:lang w:eastAsia="en-AU"/>
        </w:rPr>
        <w:t xml:space="preserve"> are funded via school appropriations. Major infrastructure investment is categorised as either:</w:t>
      </w:r>
    </w:p>
    <w:p w14:paraId="31A115E5" w14:textId="77777777" w:rsidR="00D629FB" w:rsidRDefault="00D629FB" w:rsidP="00D629FB">
      <w:pPr>
        <w:pStyle w:val="ListParagraph"/>
        <w:numPr>
          <w:ilvl w:val="0"/>
          <w:numId w:val="49"/>
        </w:numPr>
        <w:tabs>
          <w:tab w:val="clear" w:pos="2835"/>
        </w:tabs>
        <w:ind w:left="567" w:hanging="567"/>
        <w:rPr>
          <w:lang w:eastAsia="en-AU"/>
        </w:rPr>
      </w:pPr>
      <w:r>
        <w:rPr>
          <w:lang w:eastAsia="en-AU"/>
        </w:rPr>
        <w:t>growth — infrastructure investment to meet demographic demand growth requirements (new schools and additional capacity for existing schools)</w:t>
      </w:r>
    </w:p>
    <w:p w14:paraId="0BD1D22E" w14:textId="77777777" w:rsidR="00D629FB" w:rsidRDefault="00D629FB" w:rsidP="00D629FB">
      <w:pPr>
        <w:pStyle w:val="ListParagraph"/>
        <w:numPr>
          <w:ilvl w:val="0"/>
          <w:numId w:val="49"/>
        </w:numPr>
        <w:tabs>
          <w:tab w:val="clear" w:pos="2835"/>
        </w:tabs>
        <w:ind w:left="567" w:hanging="567"/>
        <w:rPr>
          <w:lang w:eastAsia="en-AU"/>
        </w:rPr>
      </w:pPr>
      <w:r>
        <w:rPr>
          <w:lang w:eastAsia="en-AU"/>
        </w:rPr>
        <w:t>renewal — replacement or enhancement of existing school facilities</w:t>
      </w:r>
    </w:p>
    <w:p w14:paraId="0B78D5FA" w14:textId="77777777" w:rsidR="00D629FB" w:rsidRDefault="00D629FB" w:rsidP="00D629FB">
      <w:pPr>
        <w:pStyle w:val="ListParagraph"/>
        <w:numPr>
          <w:ilvl w:val="0"/>
          <w:numId w:val="49"/>
        </w:numPr>
        <w:tabs>
          <w:tab w:val="clear" w:pos="2835"/>
        </w:tabs>
        <w:ind w:left="567" w:hanging="567"/>
        <w:rPr>
          <w:lang w:eastAsia="en-AU"/>
        </w:rPr>
      </w:pPr>
      <w:r>
        <w:rPr>
          <w:lang w:eastAsia="en-AU"/>
        </w:rPr>
        <w:t>specific purpose — nominated investments with defined funding sourced external to base departmental infrastructure funding</w:t>
      </w:r>
    </w:p>
    <w:p w14:paraId="35B59231" w14:textId="77777777" w:rsidR="00D629FB" w:rsidRDefault="00D629FB" w:rsidP="00D629FB">
      <w:pPr>
        <w:pStyle w:val="ListParagraph"/>
        <w:numPr>
          <w:ilvl w:val="0"/>
          <w:numId w:val="49"/>
        </w:numPr>
        <w:tabs>
          <w:tab w:val="clear" w:pos="2835"/>
        </w:tabs>
        <w:ind w:left="567" w:hanging="567"/>
        <w:rPr>
          <w:lang w:eastAsia="en-AU"/>
        </w:rPr>
      </w:pPr>
      <w:r>
        <w:rPr>
          <w:lang w:eastAsia="en-AU"/>
        </w:rPr>
        <w:t>maintain and sustain — works to enable the continued operation of infrastructure in accordance with existing functionality requirements.</w:t>
      </w:r>
    </w:p>
    <w:p w14:paraId="11B62863" w14:textId="0F3D59D2" w:rsidR="00D629FB" w:rsidRDefault="00D629FB" w:rsidP="00D629FB">
      <w:pPr>
        <w:rPr>
          <w:lang w:eastAsia="en-AU"/>
        </w:rPr>
      </w:pPr>
      <w:r w:rsidRPr="00BE1704">
        <w:rPr>
          <w:lang w:eastAsia="en-AU"/>
        </w:rPr>
        <w:t xml:space="preserve">Through </w:t>
      </w:r>
      <w:r>
        <w:rPr>
          <w:lang w:eastAsia="en-AU"/>
        </w:rPr>
        <w:t>investments to m</w:t>
      </w:r>
      <w:r w:rsidRPr="00BE1704">
        <w:rPr>
          <w:lang w:eastAsia="en-AU"/>
        </w:rPr>
        <w:t xml:space="preserve">aintain and </w:t>
      </w:r>
      <w:r>
        <w:rPr>
          <w:lang w:eastAsia="en-AU"/>
        </w:rPr>
        <w:t>s</w:t>
      </w:r>
      <w:r w:rsidRPr="00BE1704">
        <w:rPr>
          <w:lang w:eastAsia="en-AU"/>
        </w:rPr>
        <w:t>ustain</w:t>
      </w:r>
      <w:r w:rsidR="00717364">
        <w:rPr>
          <w:lang w:eastAsia="en-AU"/>
        </w:rPr>
        <w:t xml:space="preserve"> </w:t>
      </w:r>
      <w:r>
        <w:rPr>
          <w:lang w:eastAsia="en-AU"/>
        </w:rPr>
        <w:t>school assets</w:t>
      </w:r>
      <w:r w:rsidRPr="00BE1704">
        <w:rPr>
          <w:lang w:eastAsia="en-AU"/>
        </w:rPr>
        <w:t xml:space="preserve">, state schools receive </w:t>
      </w:r>
      <w:r>
        <w:rPr>
          <w:lang w:eastAsia="en-AU"/>
        </w:rPr>
        <w:t>separate</w:t>
      </w:r>
      <w:r w:rsidRPr="00BE1704">
        <w:rPr>
          <w:lang w:eastAsia="en-AU"/>
        </w:rPr>
        <w:t xml:space="preserve"> core and targeted appropriations for minor works and maintenance funding.</w:t>
      </w:r>
      <w:r w:rsidRPr="00BE1704">
        <w:t xml:space="preserve"> </w:t>
      </w:r>
      <w:r>
        <w:rPr>
          <w:lang w:eastAsia="en-AU"/>
        </w:rPr>
        <w:t>P</w:t>
      </w:r>
      <w:r w:rsidRPr="00BE1704">
        <w:rPr>
          <w:lang w:eastAsia="en-AU"/>
        </w:rPr>
        <w:t xml:space="preserve">rincipals and their communities have the choice to use </w:t>
      </w:r>
      <w:r>
        <w:rPr>
          <w:lang w:eastAsia="en-AU"/>
        </w:rPr>
        <w:t xml:space="preserve">services provided through the Department of Housing and Public Works (DHPW) </w:t>
      </w:r>
      <w:r w:rsidRPr="00BE1704">
        <w:rPr>
          <w:lang w:eastAsia="en-AU"/>
        </w:rPr>
        <w:t xml:space="preserve">Building and Asset Services (BAS) </w:t>
      </w:r>
      <w:r w:rsidR="00D25FE1">
        <w:rPr>
          <w:lang w:eastAsia="en-AU"/>
        </w:rPr>
        <w:t>d</w:t>
      </w:r>
      <w:r>
        <w:rPr>
          <w:lang w:eastAsia="en-AU"/>
        </w:rPr>
        <w:t xml:space="preserve">ivision </w:t>
      </w:r>
      <w:r w:rsidRPr="00BE1704">
        <w:rPr>
          <w:lang w:eastAsia="en-AU"/>
        </w:rPr>
        <w:t xml:space="preserve">to deliver maintenance services or source local contractors to deliver planned, emergency and routine breakdown maintenance via a direct to market (D2M) delivery option. Schools are able to choose their maintenance provider at the commencement of each financial year. Schools choosing D2M are allocated funds directly to their bank </w:t>
      </w:r>
      <w:r w:rsidRPr="00BE1704">
        <w:rPr>
          <w:lang w:eastAsia="en-AU"/>
        </w:rPr>
        <w:lastRenderedPageBreak/>
        <w:t>account.</w:t>
      </w:r>
      <w:r w:rsidR="00717364">
        <w:rPr>
          <w:lang w:eastAsia="en-AU"/>
        </w:rPr>
        <w:t xml:space="preserve"> </w:t>
      </w:r>
      <w:r>
        <w:rPr>
          <w:lang w:eastAsia="en-AU"/>
        </w:rPr>
        <w:t xml:space="preserve">Schools using the BAS delivery model have a notional allocation that is supported by automated billing arrangements that seek to reduce </w:t>
      </w:r>
      <w:r w:rsidR="00717364">
        <w:rPr>
          <w:lang w:eastAsia="en-AU"/>
        </w:rPr>
        <w:t>the</w:t>
      </w:r>
      <w:r>
        <w:rPr>
          <w:lang w:eastAsia="en-AU"/>
        </w:rPr>
        <w:t xml:space="preserve"> administrative burden on schools.</w:t>
      </w:r>
    </w:p>
    <w:p w14:paraId="1438157D" w14:textId="77777777" w:rsidR="00D629FB" w:rsidRDefault="00D629FB" w:rsidP="00D629FB">
      <w:pPr>
        <w:rPr>
          <w:lang w:eastAsia="en-AU"/>
        </w:rPr>
      </w:pPr>
      <w:r>
        <w:rPr>
          <w:lang w:eastAsia="en-AU"/>
        </w:rPr>
        <w:t xml:space="preserve">Planned maintenance priorities/tasks are selected by schools from information in the school’s Asset Life Cycle Assessment (ALCA), conducted by an external contractor. </w:t>
      </w:r>
      <w:r w:rsidRPr="00E42482">
        <w:rPr>
          <w:lang w:eastAsia="en-AU"/>
        </w:rPr>
        <w:t>These tasks are fun</w:t>
      </w:r>
      <w:r>
        <w:rPr>
          <w:lang w:eastAsia="en-AU"/>
        </w:rPr>
        <w:t>ded from the school allocation.</w:t>
      </w:r>
      <w:r w:rsidRPr="00E42482">
        <w:rPr>
          <w:lang w:eastAsia="en-AU"/>
        </w:rPr>
        <w:t xml:space="preserve"> Schools routinely identify minor maintenance items such as dripping taps and use their maintenance allocation </w:t>
      </w:r>
      <w:r>
        <w:rPr>
          <w:lang w:eastAsia="en-AU"/>
        </w:rPr>
        <w:t xml:space="preserve">and/or other available resourcing </w:t>
      </w:r>
      <w:r w:rsidRPr="00E42482">
        <w:rPr>
          <w:lang w:eastAsia="en-AU"/>
        </w:rPr>
        <w:t xml:space="preserve">to rectify these </w:t>
      </w:r>
      <w:r>
        <w:rPr>
          <w:lang w:eastAsia="en-AU"/>
        </w:rPr>
        <w:t>issues</w:t>
      </w:r>
      <w:r w:rsidRPr="00E42482">
        <w:rPr>
          <w:lang w:eastAsia="en-AU"/>
        </w:rPr>
        <w:t>.</w:t>
      </w:r>
      <w:r>
        <w:rPr>
          <w:lang w:eastAsia="en-AU"/>
        </w:rPr>
        <w:t xml:space="preserve"> Additional funding for emergency maintenance is pooled and held regionally, and there is a centrally-held allocation to fund health and safety issues. Disaster and emergency management (fires, floods, cyclones) expenditure is managed centrally and is supported through the Queensland Government Insurance fund (QGIF).</w:t>
      </w:r>
    </w:p>
    <w:p w14:paraId="469D26BD" w14:textId="3851C68C" w:rsidR="00D629FB" w:rsidRDefault="00D629FB" w:rsidP="00D629FB">
      <w:pPr>
        <w:rPr>
          <w:lang w:eastAsia="en-AU"/>
        </w:rPr>
      </w:pPr>
      <w:r w:rsidRPr="00796B66">
        <w:rPr>
          <w:lang w:eastAsia="en-AU"/>
        </w:rPr>
        <w:t xml:space="preserve">Schools have discretion to use </w:t>
      </w:r>
      <w:r>
        <w:rPr>
          <w:lang w:eastAsia="en-AU"/>
        </w:rPr>
        <w:t xml:space="preserve">appropriated </w:t>
      </w:r>
      <w:r w:rsidRPr="00796B66">
        <w:rPr>
          <w:lang w:eastAsia="en-AU"/>
        </w:rPr>
        <w:t>funding for upgrade works, maintenance or small capital projects.</w:t>
      </w:r>
    </w:p>
    <w:p w14:paraId="15E401B2" w14:textId="4AD69B05" w:rsidR="00D629FB" w:rsidRDefault="00D629FB" w:rsidP="00D629FB">
      <w:pPr>
        <w:rPr>
          <w:rFonts w:cs="Arial"/>
          <w:bCs/>
          <w:strike/>
          <w:sz w:val="32"/>
          <w:szCs w:val="40"/>
          <w:highlight w:val="yellow"/>
          <w:lang w:eastAsia="en-AU"/>
        </w:rPr>
      </w:pPr>
      <w:r>
        <w:rPr>
          <w:lang w:eastAsia="en-AU"/>
        </w:rPr>
        <w:t>Where a school has significant maintenance issues that cannot be addressed from within its available resourcing, these can be escalated to the r</w:t>
      </w:r>
      <w:r w:rsidRPr="008635BA">
        <w:rPr>
          <w:lang w:eastAsia="en-AU"/>
        </w:rPr>
        <w:t xml:space="preserve">egional </w:t>
      </w:r>
      <w:r>
        <w:rPr>
          <w:lang w:eastAsia="en-AU"/>
        </w:rPr>
        <w:t>i</w:t>
      </w:r>
      <w:r w:rsidRPr="008635BA">
        <w:rPr>
          <w:lang w:eastAsia="en-AU"/>
        </w:rPr>
        <w:t>nf</w:t>
      </w:r>
      <w:r>
        <w:rPr>
          <w:lang w:eastAsia="en-AU"/>
        </w:rPr>
        <w:t xml:space="preserve">rastructure team for consideration under special maintenance funding. </w:t>
      </w:r>
      <w:r w:rsidRPr="00000872">
        <w:rPr>
          <w:lang w:eastAsia="en-AU"/>
        </w:rPr>
        <w:t>For further information</w:t>
      </w:r>
      <w:r w:rsidR="00717364">
        <w:rPr>
          <w:lang w:eastAsia="en-AU"/>
        </w:rPr>
        <w:t>,</w:t>
      </w:r>
      <w:r w:rsidRPr="00000872">
        <w:rPr>
          <w:lang w:eastAsia="en-AU"/>
        </w:rPr>
        <w:t xml:space="preserve"> schools should contact their Infrastructure Advisor or visit the </w:t>
      </w:r>
      <w:r w:rsidRPr="00A37C16">
        <w:t>School Maintenance webpage</w:t>
      </w:r>
      <w:r w:rsidRPr="00000872">
        <w:rPr>
          <w:lang w:eastAsia="en-AU"/>
        </w:rPr>
        <w:t xml:space="preserve"> on </w:t>
      </w:r>
      <w:proofErr w:type="spellStart"/>
      <w:r w:rsidRPr="00000872">
        <w:rPr>
          <w:lang w:eastAsia="en-AU"/>
        </w:rPr>
        <w:t>OnePortal</w:t>
      </w:r>
      <w:proofErr w:type="spellEnd"/>
      <w:r w:rsidRPr="00000872">
        <w:rPr>
          <w:lang w:eastAsia="en-AU"/>
        </w:rPr>
        <w:t>.</w:t>
      </w:r>
    </w:p>
    <w:p w14:paraId="6721C5C1" w14:textId="26EE663B" w:rsidR="00D629FB" w:rsidRDefault="00D629FB" w:rsidP="00D629FB">
      <w:pPr>
        <w:pStyle w:val="Heading2"/>
        <w:keepNext/>
      </w:pPr>
      <w:bookmarkStart w:id="14" w:name="_Toc15557920"/>
      <w:r>
        <w:t xml:space="preserve">Information and communication </w:t>
      </w:r>
      <w:r w:rsidR="0010759F">
        <w:t>technologies</w:t>
      </w:r>
      <w:r>
        <w:t xml:space="preserve"> (ICT)</w:t>
      </w:r>
      <w:bookmarkEnd w:id="14"/>
    </w:p>
    <w:p w14:paraId="1F5EB09C" w14:textId="77777777" w:rsidR="00227A00" w:rsidRDefault="00227A00" w:rsidP="00227A00">
      <w:pPr>
        <w:rPr>
          <w:lang w:eastAsia="en-AU"/>
        </w:rPr>
      </w:pPr>
      <w:r>
        <w:rPr>
          <w:lang w:eastAsia="en-AU"/>
        </w:rPr>
        <w:t>All state schools benefit from a wide range of centrally-coordinated ICT initiatives.</w:t>
      </w:r>
    </w:p>
    <w:p w14:paraId="0EAA1157" w14:textId="77777777" w:rsidR="00227A00" w:rsidRDefault="00227A00" w:rsidP="00227A00">
      <w:pPr>
        <w:rPr>
          <w:lang w:eastAsia="en-AU"/>
        </w:rPr>
      </w:pPr>
      <w:r>
        <w:rPr>
          <w:lang w:eastAsia="en-AU"/>
        </w:rPr>
        <w:t>The Information and Technologies Branch business model provides services via a three-tiered delivery framework, which gives schools choice in how they access digital services:</w:t>
      </w:r>
    </w:p>
    <w:p w14:paraId="2D67E0B7" w14:textId="77777777" w:rsidR="00227A00" w:rsidRPr="00E253A6" w:rsidRDefault="00227A00" w:rsidP="00227A00">
      <w:pPr>
        <w:pStyle w:val="ListParagraph"/>
        <w:numPr>
          <w:ilvl w:val="0"/>
          <w:numId w:val="50"/>
        </w:numPr>
        <w:tabs>
          <w:tab w:val="clear" w:pos="2835"/>
        </w:tabs>
        <w:ind w:left="567" w:hanging="567"/>
        <w:rPr>
          <w:szCs w:val="22"/>
          <w:lang w:eastAsia="en-AU"/>
        </w:rPr>
      </w:pPr>
      <w:r w:rsidRPr="000E5DB1">
        <w:rPr>
          <w:szCs w:val="22"/>
          <w:lang w:eastAsia="en-AU"/>
        </w:rPr>
        <w:t xml:space="preserve">Enterprise services — centrally funded IT services are delivered to all </w:t>
      </w:r>
      <w:r w:rsidRPr="00E253A6">
        <w:rPr>
          <w:szCs w:val="22"/>
          <w:lang w:eastAsia="en-AU"/>
        </w:rPr>
        <w:t>schools, with end-to-end service guarantees and defined standards Examples include departmental applications</w:t>
      </w:r>
      <w:r>
        <w:rPr>
          <w:szCs w:val="22"/>
          <w:lang w:eastAsia="en-AU"/>
        </w:rPr>
        <w:t xml:space="preserve"> (</w:t>
      </w:r>
      <w:proofErr w:type="spellStart"/>
      <w:r>
        <w:rPr>
          <w:szCs w:val="22"/>
          <w:lang w:eastAsia="en-AU"/>
        </w:rPr>
        <w:t>OneSchool</w:t>
      </w:r>
      <w:proofErr w:type="spellEnd"/>
      <w:r>
        <w:rPr>
          <w:szCs w:val="22"/>
          <w:lang w:eastAsia="en-AU"/>
        </w:rPr>
        <w:t>; Blackboard</w:t>
      </w:r>
      <w:r w:rsidRPr="00E253A6">
        <w:rPr>
          <w:szCs w:val="22"/>
          <w:lang w:eastAsia="en-AU"/>
        </w:rPr>
        <w:t>); network infrastructure; ICT security; software licencing</w:t>
      </w:r>
      <w:r>
        <w:rPr>
          <w:szCs w:val="22"/>
          <w:lang w:eastAsia="en-AU"/>
        </w:rPr>
        <w:t>;</w:t>
      </w:r>
      <w:r w:rsidRPr="00E253A6">
        <w:rPr>
          <w:szCs w:val="22"/>
          <w:lang w:eastAsia="en-AU"/>
        </w:rPr>
        <w:t xml:space="preserve"> and Computers for Teachers program</w:t>
      </w:r>
    </w:p>
    <w:p w14:paraId="0524A978" w14:textId="77777777" w:rsidR="00227A00" w:rsidRPr="00E253A6" w:rsidRDefault="00227A00" w:rsidP="00227A00">
      <w:pPr>
        <w:pStyle w:val="ListParagraph"/>
        <w:numPr>
          <w:ilvl w:val="0"/>
          <w:numId w:val="50"/>
        </w:numPr>
        <w:tabs>
          <w:tab w:val="clear" w:pos="2835"/>
        </w:tabs>
        <w:ind w:left="567" w:hanging="567"/>
        <w:rPr>
          <w:szCs w:val="22"/>
          <w:lang w:eastAsia="en-AU"/>
        </w:rPr>
      </w:pPr>
      <w:r w:rsidRPr="00E253A6">
        <w:rPr>
          <w:szCs w:val="22"/>
          <w:lang w:eastAsia="en-AU"/>
        </w:rPr>
        <w:lastRenderedPageBreak/>
        <w:t>On-demand services — additional investment in services to meet increased demand and service innovation</w:t>
      </w:r>
      <w:r>
        <w:rPr>
          <w:szCs w:val="22"/>
          <w:lang w:eastAsia="en-AU"/>
        </w:rPr>
        <w:t xml:space="preserve">. </w:t>
      </w:r>
      <w:r w:rsidRPr="00E253A6">
        <w:rPr>
          <w:szCs w:val="22"/>
          <w:lang w:eastAsia="en-AU"/>
        </w:rPr>
        <w:t xml:space="preserve">Examples include increase in </w:t>
      </w:r>
      <w:r>
        <w:rPr>
          <w:szCs w:val="22"/>
          <w:lang w:eastAsia="en-AU"/>
        </w:rPr>
        <w:t xml:space="preserve">internet </w:t>
      </w:r>
      <w:r w:rsidRPr="00E253A6">
        <w:rPr>
          <w:szCs w:val="22"/>
          <w:lang w:eastAsia="en-AU"/>
        </w:rPr>
        <w:t>b</w:t>
      </w:r>
      <w:r>
        <w:rPr>
          <w:szCs w:val="22"/>
          <w:lang w:eastAsia="en-AU"/>
        </w:rPr>
        <w:t>andwidth and</w:t>
      </w:r>
      <w:r w:rsidRPr="00E253A6">
        <w:rPr>
          <w:szCs w:val="22"/>
          <w:lang w:eastAsia="en-AU"/>
        </w:rPr>
        <w:t xml:space="preserve"> additional wireless infrastructure </w:t>
      </w:r>
    </w:p>
    <w:p w14:paraId="6A862407" w14:textId="30FC7AD5" w:rsidR="00227A00" w:rsidRPr="003F27E5" w:rsidRDefault="00227A00" w:rsidP="00227A00">
      <w:pPr>
        <w:pStyle w:val="ListParagraph"/>
        <w:numPr>
          <w:ilvl w:val="0"/>
          <w:numId w:val="50"/>
        </w:numPr>
        <w:tabs>
          <w:tab w:val="clear" w:pos="2835"/>
        </w:tabs>
        <w:ind w:left="567" w:hanging="567"/>
        <w:rPr>
          <w:szCs w:val="22"/>
          <w:lang w:eastAsia="en-AU"/>
        </w:rPr>
      </w:pPr>
      <w:r w:rsidRPr="00E253A6">
        <w:rPr>
          <w:szCs w:val="22"/>
          <w:lang w:eastAsia="en-AU"/>
        </w:rPr>
        <w:t xml:space="preserve">Third party managed services — optional brokered IT services (external to the department) to meet school needs which are compatible with existing enterprise services. Examples include </w:t>
      </w:r>
      <w:r>
        <w:rPr>
          <w:szCs w:val="22"/>
          <w:lang w:eastAsia="en-AU"/>
        </w:rPr>
        <w:t>electronic attendance management systems and online library management systems</w:t>
      </w:r>
      <w:r w:rsidR="0066427B">
        <w:rPr>
          <w:szCs w:val="22"/>
          <w:lang w:eastAsia="en-AU"/>
        </w:rPr>
        <w:t>.</w:t>
      </w:r>
    </w:p>
    <w:p w14:paraId="37210CAA" w14:textId="77777777" w:rsidR="00227A00" w:rsidRPr="00E253A6" w:rsidRDefault="00227A00" w:rsidP="00227A00">
      <w:pPr>
        <w:rPr>
          <w:szCs w:val="22"/>
          <w:lang w:eastAsia="en-AU"/>
        </w:rPr>
      </w:pPr>
      <w:r w:rsidRPr="00E253A6">
        <w:rPr>
          <w:szCs w:val="22"/>
          <w:lang w:eastAsia="en-AU"/>
        </w:rPr>
        <w:t>Schools receive allocations for ICT within their appropriations,</w:t>
      </w:r>
      <w:r>
        <w:rPr>
          <w:szCs w:val="22"/>
          <w:lang w:eastAsia="en-AU"/>
        </w:rPr>
        <w:t xml:space="preserve"> w</w:t>
      </w:r>
      <w:r w:rsidRPr="00E253A6">
        <w:rPr>
          <w:szCs w:val="22"/>
          <w:lang w:eastAsia="en-AU"/>
        </w:rPr>
        <w:t>hich may be supplemented by other available funding, for the management of</w:t>
      </w:r>
      <w:r>
        <w:rPr>
          <w:szCs w:val="22"/>
          <w:lang w:eastAsia="en-AU"/>
        </w:rPr>
        <w:t xml:space="preserve"> local</w:t>
      </w:r>
      <w:r w:rsidRPr="00E253A6">
        <w:rPr>
          <w:szCs w:val="22"/>
          <w:lang w:eastAsia="en-AU"/>
        </w:rPr>
        <w:t xml:space="preserve"> ICT assets</w:t>
      </w:r>
      <w:r>
        <w:rPr>
          <w:szCs w:val="22"/>
          <w:lang w:eastAsia="en-AU"/>
        </w:rPr>
        <w:t>. Examples include school servers and computers</w:t>
      </w:r>
      <w:r w:rsidRPr="00E253A6">
        <w:rPr>
          <w:szCs w:val="22"/>
          <w:lang w:eastAsia="en-AU"/>
        </w:rPr>
        <w:t>.</w:t>
      </w:r>
      <w:r>
        <w:rPr>
          <w:szCs w:val="22"/>
          <w:lang w:eastAsia="en-AU"/>
        </w:rPr>
        <w:t xml:space="preserve"> Schools also receive additional funding to support ICT assets.</w:t>
      </w:r>
    </w:p>
    <w:p w14:paraId="09EFB3B9" w14:textId="77777777" w:rsidR="00227A00" w:rsidRPr="000E5DB1" w:rsidRDefault="00227A00" w:rsidP="00227A00">
      <w:pPr>
        <w:rPr>
          <w:szCs w:val="22"/>
          <w:lang w:eastAsia="en-AU"/>
        </w:rPr>
      </w:pPr>
      <w:r>
        <w:rPr>
          <w:szCs w:val="22"/>
          <w:lang w:eastAsia="en-AU"/>
        </w:rPr>
        <w:t xml:space="preserve">Schools are required to manage </w:t>
      </w:r>
      <w:r w:rsidRPr="000E5DB1">
        <w:rPr>
          <w:szCs w:val="22"/>
          <w:lang w:eastAsia="en-AU"/>
        </w:rPr>
        <w:t xml:space="preserve">ICT assets using </w:t>
      </w:r>
      <w:r>
        <w:rPr>
          <w:szCs w:val="22"/>
          <w:lang w:eastAsia="en-AU"/>
        </w:rPr>
        <w:t xml:space="preserve">a lifecycle approach through </w:t>
      </w:r>
      <w:r w:rsidRPr="000E5DB1">
        <w:rPr>
          <w:szCs w:val="22"/>
          <w:lang w:eastAsia="en-AU"/>
        </w:rPr>
        <w:t>five stages of plan, purchase, implement, utilise and enhance/retire</w:t>
      </w:r>
      <w:r>
        <w:rPr>
          <w:szCs w:val="22"/>
          <w:lang w:eastAsia="en-AU"/>
        </w:rPr>
        <w:t>.</w:t>
      </w:r>
    </w:p>
    <w:p w14:paraId="4BCE6B24" w14:textId="77777777" w:rsidR="00227A00" w:rsidRPr="00EC2240" w:rsidRDefault="00227A00" w:rsidP="00227A00">
      <w:pPr>
        <w:rPr>
          <w:lang w:eastAsia="en-AU"/>
        </w:rPr>
      </w:pPr>
      <w:r>
        <w:rPr>
          <w:lang w:eastAsia="en-AU"/>
        </w:rPr>
        <w:t>P</w:t>
      </w:r>
      <w:r w:rsidRPr="00E01DDF">
        <w:rPr>
          <w:lang w:eastAsia="en-AU"/>
        </w:rPr>
        <w:t xml:space="preserve">rincipals and other staff </w:t>
      </w:r>
      <w:r>
        <w:rPr>
          <w:lang w:eastAsia="en-AU"/>
        </w:rPr>
        <w:t>can r</w:t>
      </w:r>
      <w:r w:rsidRPr="00A561EC">
        <w:rPr>
          <w:lang w:eastAsia="en-AU"/>
        </w:rPr>
        <w:t xml:space="preserve">efer to </w:t>
      </w:r>
      <w:proofErr w:type="spellStart"/>
      <w:r>
        <w:rPr>
          <w:lang w:eastAsia="en-AU"/>
        </w:rPr>
        <w:t>OnePortal</w:t>
      </w:r>
      <w:proofErr w:type="spellEnd"/>
      <w:r>
        <w:rPr>
          <w:lang w:eastAsia="en-AU"/>
        </w:rPr>
        <w:t xml:space="preserve"> for</w:t>
      </w:r>
      <w:r w:rsidRPr="00A561EC">
        <w:rPr>
          <w:lang w:eastAsia="en-AU"/>
        </w:rPr>
        <w:t xml:space="preserve"> detailed information </w:t>
      </w:r>
      <w:r>
        <w:rPr>
          <w:lang w:eastAsia="en-AU"/>
        </w:rPr>
        <w:t xml:space="preserve">on </w:t>
      </w:r>
      <w:r w:rsidRPr="00A561EC">
        <w:rPr>
          <w:lang w:eastAsia="en-AU"/>
        </w:rPr>
        <w:t>services provide</w:t>
      </w:r>
      <w:r>
        <w:rPr>
          <w:lang w:eastAsia="en-AU"/>
        </w:rPr>
        <w:t>d</w:t>
      </w:r>
      <w:r w:rsidRPr="00A561EC">
        <w:rPr>
          <w:lang w:eastAsia="en-AU"/>
        </w:rPr>
        <w:t xml:space="preserve"> by Information </w:t>
      </w:r>
      <w:r>
        <w:rPr>
          <w:lang w:eastAsia="en-AU"/>
        </w:rPr>
        <w:t>&amp; T</w:t>
      </w:r>
      <w:r w:rsidRPr="00A561EC">
        <w:rPr>
          <w:lang w:eastAsia="en-AU"/>
        </w:rPr>
        <w:t xml:space="preserve">echnologies </w:t>
      </w:r>
      <w:r>
        <w:rPr>
          <w:lang w:eastAsia="en-AU"/>
        </w:rPr>
        <w:t>B</w:t>
      </w:r>
      <w:r w:rsidRPr="00A561EC">
        <w:rPr>
          <w:lang w:eastAsia="en-AU"/>
        </w:rPr>
        <w:t>ranch.</w:t>
      </w:r>
    </w:p>
    <w:p w14:paraId="24181909" w14:textId="54FA4039" w:rsidR="00D629FB" w:rsidRDefault="00D629FB" w:rsidP="00D629FB">
      <w:pPr>
        <w:pStyle w:val="Heading2"/>
      </w:pPr>
      <w:bookmarkStart w:id="15" w:name="_Toc15557921"/>
      <w:r>
        <w:t>Human Resources</w:t>
      </w:r>
      <w:bookmarkEnd w:id="15"/>
    </w:p>
    <w:p w14:paraId="4B85372D" w14:textId="19F32C43" w:rsidR="00D629FB" w:rsidRPr="00A20EC0" w:rsidRDefault="00D629FB" w:rsidP="00A20EC0">
      <w:pPr>
        <w:rPr>
          <w:lang w:eastAsia="en-AU"/>
        </w:rPr>
      </w:pPr>
      <w:r w:rsidRPr="00293C2D">
        <w:rPr>
          <w:lang w:eastAsia="en-AU"/>
        </w:rPr>
        <w:t xml:space="preserve">A range of </w:t>
      </w:r>
      <w:r>
        <w:rPr>
          <w:lang w:eastAsia="en-AU"/>
        </w:rPr>
        <w:t xml:space="preserve">human resources support and delivery functions are provided by the department through centrally or regionally based service teams. Recruitment, payroll, staffing, workforce management, workplace health and safety, industrial relations and rehabilitation advisory and support services are provided through specialist </w:t>
      </w:r>
      <w:r w:rsidR="00072452" w:rsidRPr="00A20EC0">
        <w:rPr>
          <w:lang w:eastAsia="en-AU"/>
        </w:rPr>
        <w:t xml:space="preserve">teams. </w:t>
      </w:r>
      <w:r>
        <w:rPr>
          <w:lang w:eastAsia="en-AU"/>
        </w:rPr>
        <w:t>This approach provides highly cost-efficient and specialised services that reduce the administrative burden on schools.</w:t>
      </w:r>
    </w:p>
    <w:p w14:paraId="50A28912" w14:textId="7FC33340" w:rsidR="00D629FB" w:rsidRPr="003E7D91" w:rsidRDefault="00D629FB" w:rsidP="00D629FB">
      <w:pPr>
        <w:rPr>
          <w:lang w:eastAsia="en-AU"/>
        </w:rPr>
      </w:pPr>
      <w:r>
        <w:rPr>
          <w:lang w:eastAsia="en-AU"/>
        </w:rPr>
        <w:t>The</w:t>
      </w:r>
      <w:r w:rsidR="0066427B">
        <w:rPr>
          <w:lang w:eastAsia="en-AU"/>
        </w:rPr>
        <w:t xml:space="preserve"> human r</w:t>
      </w:r>
      <w:r>
        <w:rPr>
          <w:lang w:eastAsia="en-AU"/>
        </w:rPr>
        <w:t>esources function of the department negotiates employment conditions and agreements, assists with investigations and disputes, undertakes investigations and provides advisory services and support.</w:t>
      </w:r>
    </w:p>
    <w:p w14:paraId="06715B92" w14:textId="77777777" w:rsidR="00D629FB" w:rsidRPr="00293C2D" w:rsidRDefault="00D629FB" w:rsidP="0010759F">
      <w:pPr>
        <w:pStyle w:val="Heading2"/>
      </w:pPr>
      <w:bookmarkStart w:id="16" w:name="_Toc15557922"/>
      <w:r w:rsidRPr="0010759F">
        <w:t>Finance and Procurement</w:t>
      </w:r>
      <w:bookmarkEnd w:id="16"/>
    </w:p>
    <w:p w14:paraId="45D2B652" w14:textId="2C749E8B" w:rsidR="00D629FB" w:rsidRPr="00293C2D" w:rsidRDefault="00D629FB" w:rsidP="00D629FB">
      <w:pPr>
        <w:rPr>
          <w:lang w:eastAsia="en-AU"/>
        </w:rPr>
      </w:pPr>
      <w:r>
        <w:rPr>
          <w:lang w:eastAsia="en-AU"/>
        </w:rPr>
        <w:t>The department provides a standardised school financial management system and processes to support schools in the management</w:t>
      </w:r>
      <w:r w:rsidR="00EF7E11">
        <w:rPr>
          <w:lang w:eastAsia="en-AU"/>
        </w:rPr>
        <w:t xml:space="preserve"> of their financial resources. </w:t>
      </w:r>
      <w:r>
        <w:rPr>
          <w:lang w:eastAsia="en-AU"/>
        </w:rPr>
        <w:t>These processes are support</w:t>
      </w:r>
      <w:r w:rsidR="00EF7E11">
        <w:rPr>
          <w:lang w:eastAsia="en-AU"/>
        </w:rPr>
        <w:t>ed</w:t>
      </w:r>
      <w:r>
        <w:rPr>
          <w:lang w:eastAsia="en-AU"/>
        </w:rPr>
        <w:t xml:space="preserve"> through centrally and regionally based teams providing expert advice and direction in the areas of finance and procurement.</w:t>
      </w:r>
      <w:r w:rsidR="00EF7E11">
        <w:rPr>
          <w:lang w:eastAsia="en-AU"/>
        </w:rPr>
        <w:t xml:space="preserve"> </w:t>
      </w:r>
      <w:r>
        <w:rPr>
          <w:lang w:eastAsia="en-AU"/>
        </w:rPr>
        <w:t>Schools benefit from being able to enhance purchasing power through the use of standing offer arrangements with suppliers</w:t>
      </w:r>
      <w:r w:rsidR="00EF7E11">
        <w:rPr>
          <w:lang w:eastAsia="en-AU"/>
        </w:rPr>
        <w:t>,</w:t>
      </w:r>
      <w:r>
        <w:rPr>
          <w:lang w:eastAsia="en-AU"/>
        </w:rPr>
        <w:t xml:space="preserve"> and have </w:t>
      </w:r>
      <w:r>
        <w:rPr>
          <w:lang w:eastAsia="en-AU"/>
        </w:rPr>
        <w:lastRenderedPageBreak/>
        <w:t>access to regional financial staff to support planning, management, compliance and accountability.</w:t>
      </w:r>
    </w:p>
    <w:p w14:paraId="3FA9502A" w14:textId="77777777" w:rsidR="00D629FB" w:rsidRDefault="00D629FB" w:rsidP="00D629FB">
      <w:pPr>
        <w:pStyle w:val="Heading2"/>
      </w:pPr>
      <w:bookmarkStart w:id="17" w:name="_Toc15557923"/>
      <w:r>
        <w:t>Central and regional office support</w:t>
      </w:r>
      <w:bookmarkEnd w:id="17"/>
    </w:p>
    <w:p w14:paraId="5D753612" w14:textId="77777777" w:rsidR="00D629FB" w:rsidRDefault="00D629FB" w:rsidP="00D629FB">
      <w:pPr>
        <w:rPr>
          <w:lang w:eastAsia="en-AU"/>
        </w:rPr>
      </w:pPr>
      <w:r w:rsidRPr="00DF5115">
        <w:rPr>
          <w:lang w:eastAsia="en-AU"/>
        </w:rPr>
        <w:t xml:space="preserve">To help principals meet their financial </w:t>
      </w:r>
      <w:r>
        <w:rPr>
          <w:lang w:eastAsia="en-AU"/>
        </w:rPr>
        <w:t xml:space="preserve">and resource management </w:t>
      </w:r>
      <w:r w:rsidRPr="00DF5115">
        <w:rPr>
          <w:lang w:eastAsia="en-AU"/>
        </w:rPr>
        <w:t>responsibilities, the department provides a range of systems, tools, pol</w:t>
      </w:r>
      <w:r>
        <w:rPr>
          <w:lang w:eastAsia="en-AU"/>
        </w:rPr>
        <w:t>icies, procedures and training. Centrally and regionally administered services and programs include:</w:t>
      </w:r>
    </w:p>
    <w:p w14:paraId="74A83012" w14:textId="7CC4A990" w:rsidR="00D629FB" w:rsidRDefault="00EF7E11" w:rsidP="00D629FB">
      <w:pPr>
        <w:pStyle w:val="ListParagraph"/>
        <w:numPr>
          <w:ilvl w:val="0"/>
          <w:numId w:val="7"/>
        </w:numPr>
        <w:tabs>
          <w:tab w:val="clear" w:pos="2835"/>
        </w:tabs>
        <w:ind w:left="567" w:hanging="567"/>
        <w:rPr>
          <w:lang w:eastAsia="en-AU"/>
        </w:rPr>
      </w:pPr>
      <w:r>
        <w:rPr>
          <w:lang w:eastAsia="en-AU"/>
        </w:rPr>
        <w:t>g</w:t>
      </w:r>
      <w:r w:rsidR="00D629FB">
        <w:rPr>
          <w:lang w:eastAsia="en-AU"/>
        </w:rPr>
        <w:t>overnance and re</w:t>
      </w:r>
      <w:r w:rsidR="00A20532">
        <w:rPr>
          <w:lang w:eastAsia="en-AU"/>
        </w:rPr>
        <w:t>porting frameworks and services</w:t>
      </w:r>
    </w:p>
    <w:p w14:paraId="73491314" w14:textId="5401AF4A" w:rsidR="00D629FB" w:rsidRDefault="00EF7E11" w:rsidP="00D629FB">
      <w:pPr>
        <w:pStyle w:val="ListParagraph"/>
        <w:numPr>
          <w:ilvl w:val="0"/>
          <w:numId w:val="7"/>
        </w:numPr>
        <w:tabs>
          <w:tab w:val="clear" w:pos="2835"/>
        </w:tabs>
        <w:ind w:left="567" w:hanging="567"/>
        <w:rPr>
          <w:lang w:eastAsia="en-AU"/>
        </w:rPr>
      </w:pPr>
      <w:r>
        <w:rPr>
          <w:lang w:eastAsia="en-AU"/>
        </w:rPr>
        <w:t>c</w:t>
      </w:r>
      <w:r w:rsidR="00D629FB">
        <w:rPr>
          <w:lang w:eastAsia="en-AU"/>
        </w:rPr>
        <w:t>urr</w:t>
      </w:r>
      <w:r w:rsidR="00A20532">
        <w:rPr>
          <w:lang w:eastAsia="en-AU"/>
        </w:rPr>
        <w:t>iculum support and coordination</w:t>
      </w:r>
    </w:p>
    <w:p w14:paraId="556DDFB9" w14:textId="4661B1F9" w:rsidR="00D629FB" w:rsidRDefault="00EF7E11" w:rsidP="00D629FB">
      <w:pPr>
        <w:pStyle w:val="ListParagraph"/>
        <w:numPr>
          <w:ilvl w:val="0"/>
          <w:numId w:val="7"/>
        </w:numPr>
        <w:tabs>
          <w:tab w:val="clear" w:pos="2835"/>
        </w:tabs>
        <w:ind w:left="567" w:hanging="567"/>
        <w:rPr>
          <w:lang w:eastAsia="en-AU"/>
        </w:rPr>
      </w:pPr>
      <w:r>
        <w:rPr>
          <w:lang w:eastAsia="en-AU"/>
        </w:rPr>
        <w:t>s</w:t>
      </w:r>
      <w:r w:rsidR="00A20532">
        <w:rPr>
          <w:lang w:eastAsia="en-AU"/>
        </w:rPr>
        <w:t>chool sport</w:t>
      </w:r>
    </w:p>
    <w:p w14:paraId="732CA6FA" w14:textId="2CF56EAE" w:rsidR="00D629FB" w:rsidRDefault="00D629FB" w:rsidP="00D629FB">
      <w:pPr>
        <w:pStyle w:val="ListParagraph"/>
        <w:numPr>
          <w:ilvl w:val="0"/>
          <w:numId w:val="7"/>
        </w:numPr>
        <w:tabs>
          <w:tab w:val="clear" w:pos="2835"/>
        </w:tabs>
        <w:ind w:left="567" w:hanging="567"/>
        <w:rPr>
          <w:lang w:eastAsia="en-AU"/>
        </w:rPr>
      </w:pPr>
      <w:r>
        <w:rPr>
          <w:lang w:eastAsia="en-AU"/>
        </w:rPr>
        <w:t xml:space="preserve">risk management </w:t>
      </w:r>
    </w:p>
    <w:p w14:paraId="130EBECE" w14:textId="4FB4C21E" w:rsidR="00D629FB" w:rsidRDefault="00EF7E11" w:rsidP="00D629FB">
      <w:pPr>
        <w:pStyle w:val="ListParagraph"/>
        <w:numPr>
          <w:ilvl w:val="0"/>
          <w:numId w:val="7"/>
        </w:numPr>
        <w:tabs>
          <w:tab w:val="clear" w:pos="2835"/>
        </w:tabs>
        <w:ind w:left="567" w:hanging="567"/>
        <w:rPr>
          <w:lang w:eastAsia="en-AU"/>
        </w:rPr>
      </w:pPr>
      <w:r>
        <w:rPr>
          <w:lang w:eastAsia="en-AU"/>
        </w:rPr>
        <w:t>p</w:t>
      </w:r>
      <w:r w:rsidR="00D629FB">
        <w:rPr>
          <w:lang w:eastAsia="en-AU"/>
        </w:rPr>
        <w:t>olicy, planning an</w:t>
      </w:r>
      <w:r w:rsidR="00A20532">
        <w:rPr>
          <w:lang w:eastAsia="en-AU"/>
        </w:rPr>
        <w:t>d performance advisory services</w:t>
      </w:r>
    </w:p>
    <w:p w14:paraId="37BAB396" w14:textId="4CF9884F" w:rsidR="00D629FB" w:rsidRDefault="00D629FB" w:rsidP="00D629FB">
      <w:pPr>
        <w:pStyle w:val="ListParagraph"/>
        <w:numPr>
          <w:ilvl w:val="0"/>
          <w:numId w:val="7"/>
        </w:numPr>
        <w:tabs>
          <w:tab w:val="clear" w:pos="2835"/>
        </w:tabs>
        <w:ind w:left="567" w:hanging="567"/>
        <w:rPr>
          <w:lang w:eastAsia="en-AU"/>
        </w:rPr>
      </w:pPr>
      <w:r>
        <w:rPr>
          <w:lang w:eastAsia="en-AU"/>
        </w:rPr>
        <w:t xml:space="preserve">school </w:t>
      </w:r>
      <w:r w:rsidR="00A20532">
        <w:rPr>
          <w:lang w:eastAsia="en-AU"/>
        </w:rPr>
        <w:t>leadership development programs</w:t>
      </w:r>
    </w:p>
    <w:p w14:paraId="108857AA" w14:textId="40E31CE8" w:rsidR="00D629FB" w:rsidRDefault="00D629FB" w:rsidP="00D629FB">
      <w:pPr>
        <w:pStyle w:val="ListParagraph"/>
        <w:numPr>
          <w:ilvl w:val="0"/>
          <w:numId w:val="7"/>
        </w:numPr>
        <w:tabs>
          <w:tab w:val="clear" w:pos="2835"/>
        </w:tabs>
        <w:ind w:left="567" w:hanging="567"/>
        <w:rPr>
          <w:lang w:eastAsia="en-AU"/>
        </w:rPr>
      </w:pPr>
      <w:r>
        <w:rPr>
          <w:lang w:eastAsia="en-AU"/>
        </w:rPr>
        <w:t>curriculum materials and se</w:t>
      </w:r>
      <w:r w:rsidR="00A20532">
        <w:rPr>
          <w:lang w:eastAsia="en-AU"/>
        </w:rPr>
        <w:t>rvices</w:t>
      </w:r>
    </w:p>
    <w:p w14:paraId="5997C3E3" w14:textId="0CC3B079" w:rsidR="00D629FB" w:rsidRDefault="00D629FB" w:rsidP="00D629FB">
      <w:pPr>
        <w:pStyle w:val="ListParagraph"/>
        <w:numPr>
          <w:ilvl w:val="0"/>
          <w:numId w:val="7"/>
        </w:numPr>
        <w:tabs>
          <w:tab w:val="clear" w:pos="2835"/>
        </w:tabs>
        <w:ind w:left="567" w:hanging="567"/>
        <w:rPr>
          <w:lang w:eastAsia="en-AU"/>
        </w:rPr>
      </w:pPr>
      <w:r>
        <w:rPr>
          <w:lang w:eastAsia="en-AU"/>
        </w:rPr>
        <w:t>research and data analysis, including the annual School Opinion Survey and the Next St</w:t>
      </w:r>
      <w:r w:rsidR="00A20532">
        <w:rPr>
          <w:lang w:eastAsia="en-AU"/>
        </w:rPr>
        <w:t>ep survey of Year 12 completers</w:t>
      </w:r>
    </w:p>
    <w:p w14:paraId="2E42BEF9" w14:textId="5A9D614D" w:rsidR="00D629FB" w:rsidRDefault="00A20532" w:rsidP="00D629FB">
      <w:pPr>
        <w:pStyle w:val="ListParagraph"/>
        <w:numPr>
          <w:ilvl w:val="0"/>
          <w:numId w:val="7"/>
        </w:numPr>
        <w:tabs>
          <w:tab w:val="clear" w:pos="2835"/>
        </w:tabs>
        <w:ind w:left="567" w:hanging="567"/>
        <w:rPr>
          <w:lang w:eastAsia="en-AU"/>
        </w:rPr>
      </w:pPr>
      <w:r>
        <w:rPr>
          <w:lang w:eastAsia="en-AU"/>
        </w:rPr>
        <w:t>P&amp;C and School Council support</w:t>
      </w:r>
    </w:p>
    <w:p w14:paraId="51A51253" w14:textId="48DC46BB" w:rsidR="00D629FB" w:rsidRDefault="00EF7E11" w:rsidP="00D629FB">
      <w:pPr>
        <w:pStyle w:val="ListParagraph"/>
        <w:numPr>
          <w:ilvl w:val="0"/>
          <w:numId w:val="7"/>
        </w:numPr>
        <w:tabs>
          <w:tab w:val="clear" w:pos="2835"/>
        </w:tabs>
        <w:ind w:left="567" w:hanging="567"/>
        <w:rPr>
          <w:lang w:eastAsia="en-AU"/>
        </w:rPr>
      </w:pPr>
      <w:r>
        <w:rPr>
          <w:lang w:eastAsia="en-AU"/>
        </w:rPr>
        <w:t>l</w:t>
      </w:r>
      <w:r w:rsidR="00D629FB">
        <w:rPr>
          <w:lang w:eastAsia="en-AU"/>
        </w:rPr>
        <w:t>egisla</w:t>
      </w:r>
      <w:r w:rsidR="00A20532">
        <w:rPr>
          <w:lang w:eastAsia="en-AU"/>
        </w:rPr>
        <w:t>tive and legal support services</w:t>
      </w:r>
    </w:p>
    <w:p w14:paraId="44BCD903" w14:textId="1A7362F2" w:rsidR="00D629FB" w:rsidRDefault="00EF7E11" w:rsidP="00D629FB">
      <w:pPr>
        <w:pStyle w:val="ListParagraph"/>
        <w:numPr>
          <w:ilvl w:val="0"/>
          <w:numId w:val="7"/>
        </w:numPr>
        <w:tabs>
          <w:tab w:val="clear" w:pos="2835"/>
        </w:tabs>
        <w:ind w:left="567" w:hanging="567"/>
        <w:rPr>
          <w:lang w:eastAsia="en-AU"/>
        </w:rPr>
      </w:pPr>
      <w:r>
        <w:rPr>
          <w:lang w:eastAsia="en-AU"/>
        </w:rPr>
        <w:t>c</w:t>
      </w:r>
      <w:r w:rsidR="00D629FB">
        <w:rPr>
          <w:lang w:eastAsia="en-AU"/>
        </w:rPr>
        <w:t>ommunications, media</w:t>
      </w:r>
      <w:r w:rsidR="00A20532">
        <w:rPr>
          <w:lang w:eastAsia="en-AU"/>
        </w:rPr>
        <w:t xml:space="preserve"> and marketing support services</w:t>
      </w:r>
    </w:p>
    <w:p w14:paraId="1BDE2048" w14:textId="7453C237" w:rsidR="00D629FB" w:rsidRDefault="00EF7E11" w:rsidP="00D629FB">
      <w:pPr>
        <w:pStyle w:val="ListParagraph"/>
        <w:numPr>
          <w:ilvl w:val="0"/>
          <w:numId w:val="7"/>
        </w:numPr>
        <w:tabs>
          <w:tab w:val="clear" w:pos="2835"/>
        </w:tabs>
        <w:ind w:left="567" w:hanging="567"/>
        <w:rPr>
          <w:lang w:eastAsia="en-AU"/>
        </w:rPr>
      </w:pPr>
      <w:r>
        <w:rPr>
          <w:lang w:eastAsia="en-AU"/>
        </w:rPr>
        <w:t>s</w:t>
      </w:r>
      <w:r w:rsidR="00D629FB">
        <w:rPr>
          <w:lang w:eastAsia="en-AU"/>
        </w:rPr>
        <w:t>tate-wide coordination of specialist services such as therapists and counsellors, including disability support services.</w:t>
      </w:r>
    </w:p>
    <w:p w14:paraId="33893BFB" w14:textId="77777777" w:rsidR="00D629FB" w:rsidRPr="00A37C16" w:rsidRDefault="00D629FB" w:rsidP="00D629FB">
      <w:pPr>
        <w:rPr>
          <w:lang w:eastAsia="en-AU"/>
        </w:rPr>
      </w:pPr>
      <w:r w:rsidRPr="00EF3D79">
        <w:rPr>
          <w:lang w:eastAsia="en-AU"/>
        </w:rPr>
        <w:t>For further information</w:t>
      </w:r>
      <w:r>
        <w:rPr>
          <w:lang w:eastAsia="en-AU"/>
        </w:rPr>
        <w:t>,</w:t>
      </w:r>
      <w:r w:rsidRPr="00EF3D79">
        <w:rPr>
          <w:lang w:eastAsia="en-AU"/>
        </w:rPr>
        <w:t xml:space="preserve"> </w:t>
      </w:r>
      <w:r w:rsidRPr="00E01DDF">
        <w:rPr>
          <w:lang w:eastAsia="en-AU"/>
        </w:rPr>
        <w:t xml:space="preserve">principals and other staff </w:t>
      </w:r>
      <w:r>
        <w:rPr>
          <w:lang w:eastAsia="en-AU"/>
        </w:rPr>
        <w:t xml:space="preserve">can refer to their </w:t>
      </w:r>
      <w:r w:rsidRPr="00DF5115">
        <w:rPr>
          <w:lang w:eastAsia="en-AU"/>
        </w:rPr>
        <w:t xml:space="preserve">regional </w:t>
      </w:r>
      <w:r>
        <w:rPr>
          <w:lang w:eastAsia="en-AU"/>
        </w:rPr>
        <w:t xml:space="preserve">advisory services or information on </w:t>
      </w:r>
      <w:proofErr w:type="spellStart"/>
      <w:r>
        <w:rPr>
          <w:lang w:eastAsia="en-AU"/>
        </w:rPr>
        <w:t>OnePortal</w:t>
      </w:r>
      <w:proofErr w:type="spellEnd"/>
      <w:r w:rsidRPr="00DF5115">
        <w:rPr>
          <w:lang w:eastAsia="en-AU"/>
        </w:rPr>
        <w:t>.</w:t>
      </w:r>
    </w:p>
    <w:p w14:paraId="30D77EE7" w14:textId="77777777" w:rsidR="00227A00" w:rsidRDefault="00227A00">
      <w:pPr>
        <w:spacing w:after="0" w:line="240" w:lineRule="auto"/>
        <w:rPr>
          <w:rFonts w:eastAsia="MS Mincho" w:cs="Arial"/>
          <w:sz w:val="52"/>
          <w:szCs w:val="80"/>
          <w:lang w:val="en-GB"/>
        </w:rPr>
      </w:pPr>
      <w:r>
        <w:br w:type="page"/>
      </w:r>
    </w:p>
    <w:p w14:paraId="32CECD26" w14:textId="658B6CBD" w:rsidR="00D629FB" w:rsidRDefault="00D629FB" w:rsidP="00D629FB">
      <w:pPr>
        <w:pStyle w:val="Heading1"/>
      </w:pPr>
      <w:bookmarkStart w:id="18" w:name="_Toc15557924"/>
      <w:r>
        <w:lastRenderedPageBreak/>
        <w:t>Further information</w:t>
      </w:r>
      <w:bookmarkEnd w:id="18"/>
    </w:p>
    <w:p w14:paraId="42A0F0CA" w14:textId="77777777" w:rsidR="00D629FB" w:rsidRDefault="00D629FB" w:rsidP="00D629FB">
      <w:pPr>
        <w:rPr>
          <w:lang w:eastAsia="en-AU"/>
        </w:rPr>
      </w:pPr>
      <w:r>
        <w:rPr>
          <w:lang w:eastAsia="en-AU"/>
        </w:rPr>
        <w:t xml:space="preserve">Click on the links below for further details. Additional </w:t>
      </w:r>
      <w:r w:rsidRPr="00DF5115">
        <w:rPr>
          <w:lang w:eastAsia="en-AU"/>
        </w:rPr>
        <w:t xml:space="preserve">information </w:t>
      </w:r>
      <w:r>
        <w:rPr>
          <w:lang w:eastAsia="en-AU"/>
        </w:rPr>
        <w:t xml:space="preserve">is available to </w:t>
      </w:r>
      <w:r w:rsidRPr="00DF5115">
        <w:rPr>
          <w:lang w:eastAsia="en-AU"/>
        </w:rPr>
        <w:t xml:space="preserve">principals and other staff </w:t>
      </w:r>
      <w:r>
        <w:rPr>
          <w:lang w:eastAsia="en-AU"/>
        </w:rPr>
        <w:t>through the department’s intranet (</w:t>
      </w:r>
      <w:proofErr w:type="spellStart"/>
      <w:r w:rsidRPr="00DF5115">
        <w:rPr>
          <w:lang w:eastAsia="en-AU"/>
        </w:rPr>
        <w:t>OnePortal</w:t>
      </w:r>
      <w:proofErr w:type="spellEnd"/>
      <w:r>
        <w:rPr>
          <w:lang w:eastAsia="en-AU"/>
        </w:rPr>
        <w:t>)</w:t>
      </w:r>
      <w:r w:rsidRPr="00DF5115">
        <w:rPr>
          <w:lang w:eastAsia="en-AU"/>
        </w:rPr>
        <w:t>.</w:t>
      </w:r>
    </w:p>
    <w:p w14:paraId="334241E3" w14:textId="77777777" w:rsidR="00D629FB" w:rsidRDefault="00D629FB" w:rsidP="00D629FB">
      <w:pPr>
        <w:pStyle w:val="Caption"/>
        <w:rPr>
          <w:lang w:eastAsia="en-AU"/>
        </w:rPr>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Key website links</w:t>
      </w:r>
    </w:p>
    <w:tbl>
      <w:tblPr>
        <w:tblStyle w:val="TableGrid"/>
        <w:tblW w:w="0" w:type="auto"/>
        <w:tblLook w:val="04A0" w:firstRow="1" w:lastRow="0" w:firstColumn="1" w:lastColumn="0" w:noHBand="0" w:noVBand="1"/>
        <w:tblCaption w:val="Key website links"/>
        <w:tblDescription w:val="School funding appropriations https://education.qld.gov.au/about-us/budgets-funding-grants/grants/state-schools&#10;Regional office contacts https://education.qld.gov.au/contact-us/state-schools-regional-contacts"/>
      </w:tblPr>
      <w:tblGrid>
        <w:gridCol w:w="2041"/>
        <w:gridCol w:w="5879"/>
      </w:tblGrid>
      <w:tr w:rsidR="00D629FB" w:rsidRPr="00DF3946" w14:paraId="51488B9F" w14:textId="77777777" w:rsidTr="00D2139C">
        <w:trPr>
          <w:tblHeader/>
        </w:trPr>
        <w:tc>
          <w:tcPr>
            <w:tcW w:w="2041" w:type="dxa"/>
          </w:tcPr>
          <w:p w14:paraId="0FE66667" w14:textId="77777777" w:rsidR="00D629FB" w:rsidRPr="00DF3946" w:rsidRDefault="00D629FB" w:rsidP="00293C2D">
            <w:pPr>
              <w:rPr>
                <w:b/>
                <w:lang w:eastAsia="en-AU"/>
              </w:rPr>
            </w:pPr>
            <w:r w:rsidRPr="00DF3946">
              <w:rPr>
                <w:b/>
                <w:lang w:eastAsia="en-AU"/>
              </w:rPr>
              <w:t>Topic</w:t>
            </w:r>
          </w:p>
        </w:tc>
        <w:tc>
          <w:tcPr>
            <w:tcW w:w="5879" w:type="dxa"/>
          </w:tcPr>
          <w:p w14:paraId="14F33518" w14:textId="77777777" w:rsidR="00D629FB" w:rsidRPr="00DF3946" w:rsidRDefault="00D629FB" w:rsidP="00293C2D">
            <w:pPr>
              <w:rPr>
                <w:b/>
                <w:lang w:eastAsia="en-AU"/>
              </w:rPr>
            </w:pPr>
            <w:r w:rsidRPr="00DF3946">
              <w:rPr>
                <w:b/>
                <w:lang w:eastAsia="en-AU"/>
              </w:rPr>
              <w:t>Web address</w:t>
            </w:r>
          </w:p>
        </w:tc>
      </w:tr>
      <w:tr w:rsidR="00D629FB" w14:paraId="0DDA7952" w14:textId="77777777" w:rsidTr="00293C2D">
        <w:tc>
          <w:tcPr>
            <w:tcW w:w="2041" w:type="dxa"/>
          </w:tcPr>
          <w:p w14:paraId="67212B8D" w14:textId="77777777" w:rsidR="00D629FB" w:rsidRDefault="00D629FB" w:rsidP="00293C2D">
            <w:pPr>
              <w:rPr>
                <w:lang w:eastAsia="en-AU"/>
              </w:rPr>
            </w:pPr>
            <w:r>
              <w:rPr>
                <w:lang w:eastAsia="en-AU"/>
              </w:rPr>
              <w:t>School funding appropriations</w:t>
            </w:r>
          </w:p>
        </w:tc>
        <w:tc>
          <w:tcPr>
            <w:tcW w:w="5879" w:type="dxa"/>
          </w:tcPr>
          <w:p w14:paraId="7E90A36D" w14:textId="77777777" w:rsidR="00D629FB" w:rsidRDefault="00464B7E" w:rsidP="00293C2D">
            <w:pPr>
              <w:rPr>
                <w:lang w:eastAsia="en-AU"/>
              </w:rPr>
            </w:pPr>
            <w:hyperlink r:id="rId13" w:history="1">
              <w:r w:rsidR="00D629FB" w:rsidRPr="00847752">
                <w:rPr>
                  <w:rStyle w:val="Hyperlink"/>
                </w:rPr>
                <w:t>https://education.qld.gov.au/about-us/budgets-funding-grants/grants/state-schools</w:t>
              </w:r>
            </w:hyperlink>
          </w:p>
        </w:tc>
      </w:tr>
      <w:tr w:rsidR="00D629FB" w14:paraId="172E18C7" w14:textId="77777777" w:rsidTr="00293C2D">
        <w:tc>
          <w:tcPr>
            <w:tcW w:w="2041" w:type="dxa"/>
          </w:tcPr>
          <w:p w14:paraId="116D07D9" w14:textId="77777777" w:rsidR="00D629FB" w:rsidRDefault="00D629FB" w:rsidP="00293C2D">
            <w:pPr>
              <w:rPr>
                <w:lang w:eastAsia="en-AU"/>
              </w:rPr>
            </w:pPr>
            <w:r>
              <w:rPr>
                <w:lang w:eastAsia="en-AU"/>
              </w:rPr>
              <w:t>Regional office contacts</w:t>
            </w:r>
          </w:p>
        </w:tc>
        <w:tc>
          <w:tcPr>
            <w:tcW w:w="5879" w:type="dxa"/>
          </w:tcPr>
          <w:p w14:paraId="1ED2C722" w14:textId="77777777" w:rsidR="00D629FB" w:rsidRDefault="00464B7E" w:rsidP="00293C2D">
            <w:pPr>
              <w:rPr>
                <w:lang w:eastAsia="en-AU"/>
              </w:rPr>
            </w:pPr>
            <w:hyperlink r:id="rId14" w:history="1">
              <w:r w:rsidR="00D629FB" w:rsidRPr="00847752">
                <w:rPr>
                  <w:rStyle w:val="Hyperlink"/>
                </w:rPr>
                <w:t>https://education.qld.gov.au/contact-us/state-schools-regional-contacts</w:t>
              </w:r>
            </w:hyperlink>
          </w:p>
        </w:tc>
      </w:tr>
    </w:tbl>
    <w:p w14:paraId="5E795153" w14:textId="77777777" w:rsidR="00D629FB" w:rsidRDefault="00D629FB" w:rsidP="00D629FB">
      <w:pPr>
        <w:rPr>
          <w:lang w:eastAsia="en-AU"/>
        </w:rPr>
      </w:pPr>
    </w:p>
    <w:sectPr w:rsidR="00D629FB" w:rsidSect="003739D6">
      <w:headerReference w:type="even" r:id="rId15"/>
      <w:headerReference w:type="default" r:id="rId16"/>
      <w:footerReference w:type="even" r:id="rId17"/>
      <w:footerReference w:type="default" r:id="rId18"/>
      <w:headerReference w:type="first" r:id="rId19"/>
      <w:footerReference w:type="first" r:id="rId20"/>
      <w:pgSz w:w="11900" w:h="16840"/>
      <w:pgMar w:top="141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D4D07" w14:textId="77777777" w:rsidR="006075DE" w:rsidRDefault="006075DE" w:rsidP="00190C24">
      <w:r>
        <w:separator/>
      </w:r>
    </w:p>
  </w:endnote>
  <w:endnote w:type="continuationSeparator" w:id="0">
    <w:p w14:paraId="0675C16F" w14:textId="77777777" w:rsidR="006075DE" w:rsidRDefault="006075D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273F" w14:textId="77777777" w:rsidR="0027448A" w:rsidRDefault="0027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083B" w14:textId="77777777" w:rsidR="00754908" w:rsidRPr="0027448A" w:rsidRDefault="00754908" w:rsidP="00274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F62E" w14:textId="77777777" w:rsidR="0027448A" w:rsidRDefault="0027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EFE7B" w14:textId="77777777" w:rsidR="006075DE" w:rsidRDefault="006075DE" w:rsidP="00190C24">
      <w:r>
        <w:separator/>
      </w:r>
    </w:p>
  </w:footnote>
  <w:footnote w:type="continuationSeparator" w:id="0">
    <w:p w14:paraId="3D61952F" w14:textId="77777777" w:rsidR="006075DE" w:rsidRDefault="006075DE" w:rsidP="00190C24">
      <w:r>
        <w:continuationSeparator/>
      </w:r>
    </w:p>
  </w:footnote>
  <w:footnote w:id="1">
    <w:p w14:paraId="530864B5" w14:textId="77777777" w:rsidR="00CF3520" w:rsidRPr="00C44D26" w:rsidRDefault="00CF3520" w:rsidP="00CF3520">
      <w:pPr>
        <w:pStyle w:val="FootnoteText"/>
        <w:rPr>
          <w:lang w:val="en-US"/>
        </w:rPr>
      </w:pPr>
      <w:r>
        <w:rPr>
          <w:rStyle w:val="FootnoteReference"/>
        </w:rPr>
        <w:footnoteRef/>
      </w:r>
      <w:r>
        <w:t xml:space="preserve"> </w:t>
      </w:r>
      <w:r>
        <w:rPr>
          <w:lang w:val="en-US"/>
        </w:rPr>
        <w:t>The word Indigenous in this document refers to Aboriginal and Torres Strait Islander people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1AB8" w14:textId="77777777" w:rsidR="0027448A" w:rsidRDefault="00274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E7C8" w14:textId="05E01B03" w:rsidR="00754908" w:rsidRDefault="00754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1D30" w14:textId="5F5DD09F" w:rsidR="00754908" w:rsidRDefault="00754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B9"/>
    <w:multiLevelType w:val="hybridMultilevel"/>
    <w:tmpl w:val="5E1E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A91164"/>
    <w:multiLevelType w:val="hybridMultilevel"/>
    <w:tmpl w:val="CE66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A286B"/>
    <w:multiLevelType w:val="hybridMultilevel"/>
    <w:tmpl w:val="6C36E74A"/>
    <w:lvl w:ilvl="0" w:tplc="911C57D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1C3038"/>
    <w:multiLevelType w:val="hybridMultilevel"/>
    <w:tmpl w:val="39583F00"/>
    <w:lvl w:ilvl="0" w:tplc="5D88A9D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20E25"/>
    <w:multiLevelType w:val="hybridMultilevel"/>
    <w:tmpl w:val="9BB4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00653"/>
    <w:multiLevelType w:val="hybridMultilevel"/>
    <w:tmpl w:val="B6740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E410BA"/>
    <w:multiLevelType w:val="hybridMultilevel"/>
    <w:tmpl w:val="DF76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B3A86"/>
    <w:multiLevelType w:val="hybridMultilevel"/>
    <w:tmpl w:val="ADB0AD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052B35"/>
    <w:multiLevelType w:val="hybridMultilevel"/>
    <w:tmpl w:val="88AC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785B68"/>
    <w:multiLevelType w:val="hybridMultilevel"/>
    <w:tmpl w:val="0FC8EDEA"/>
    <w:lvl w:ilvl="0" w:tplc="02D4BE18">
      <w:numFmt w:val="bullet"/>
      <w:lvlText w:val="-"/>
      <w:lvlJc w:val="left"/>
      <w:pPr>
        <w:ind w:left="720" w:hanging="360"/>
      </w:pPr>
      <w:rPr>
        <w:rFonts w:ascii="Calibri" w:eastAsia="SimSun"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85778F"/>
    <w:multiLevelType w:val="hybridMultilevel"/>
    <w:tmpl w:val="E4BA4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C5365"/>
    <w:multiLevelType w:val="hybridMultilevel"/>
    <w:tmpl w:val="01962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E0789C"/>
    <w:multiLevelType w:val="hybridMultilevel"/>
    <w:tmpl w:val="69460132"/>
    <w:lvl w:ilvl="0" w:tplc="EAEA93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385654"/>
    <w:multiLevelType w:val="hybridMultilevel"/>
    <w:tmpl w:val="4CF26780"/>
    <w:lvl w:ilvl="0" w:tplc="4C560E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F21788"/>
    <w:multiLevelType w:val="hybridMultilevel"/>
    <w:tmpl w:val="E6AC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0"/>
  </w:num>
  <w:num w:numId="6">
    <w:abstractNumId w:val="10"/>
  </w:num>
  <w:num w:numId="7">
    <w:abstractNumId w:val="11"/>
  </w:num>
  <w:num w:numId="8">
    <w:abstractNumId w:val="12"/>
  </w:num>
  <w:num w:numId="9">
    <w:abstractNumId w:val="1"/>
  </w:num>
  <w:num w:numId="10">
    <w:abstractNumId w:val="1"/>
  </w:num>
  <w:num w:numId="11">
    <w:abstractNumId w:val="7"/>
  </w:num>
  <w:num w:numId="12">
    <w:abstractNumId w:val="15"/>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4"/>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2"/>
  </w:num>
  <w:num w:numId="50">
    <w:abstractNumId w:val="8"/>
  </w:num>
  <w:num w:numId="51">
    <w:abstractNumId w:val="1"/>
  </w:num>
  <w:num w:numId="52">
    <w:abstractNumId w:val="1"/>
  </w:num>
  <w:num w:numId="53">
    <w:abstractNumId w:val="1"/>
  </w:num>
  <w:num w:numId="54">
    <w:abstractNumId w:val="5"/>
  </w:num>
  <w:num w:numId="55">
    <w:abstractNumId w:val="9"/>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13"/>
    <w:rsid w:val="00000872"/>
    <w:rsid w:val="00001A91"/>
    <w:rsid w:val="0000499E"/>
    <w:rsid w:val="0002155B"/>
    <w:rsid w:val="00034986"/>
    <w:rsid w:val="0003551D"/>
    <w:rsid w:val="000425F7"/>
    <w:rsid w:val="000436FC"/>
    <w:rsid w:val="0004498C"/>
    <w:rsid w:val="00047CEA"/>
    <w:rsid w:val="00065976"/>
    <w:rsid w:val="00072452"/>
    <w:rsid w:val="000738A0"/>
    <w:rsid w:val="00081903"/>
    <w:rsid w:val="00085A57"/>
    <w:rsid w:val="00096627"/>
    <w:rsid w:val="000A4113"/>
    <w:rsid w:val="000B61AC"/>
    <w:rsid w:val="000C5F5F"/>
    <w:rsid w:val="000E6290"/>
    <w:rsid w:val="000F7FDE"/>
    <w:rsid w:val="0010759F"/>
    <w:rsid w:val="001117AF"/>
    <w:rsid w:val="001154E1"/>
    <w:rsid w:val="00116494"/>
    <w:rsid w:val="0012049E"/>
    <w:rsid w:val="00127982"/>
    <w:rsid w:val="0013299B"/>
    <w:rsid w:val="00140E13"/>
    <w:rsid w:val="00157C0A"/>
    <w:rsid w:val="00165442"/>
    <w:rsid w:val="00172230"/>
    <w:rsid w:val="00173973"/>
    <w:rsid w:val="00174F21"/>
    <w:rsid w:val="00177E08"/>
    <w:rsid w:val="00187812"/>
    <w:rsid w:val="00190C24"/>
    <w:rsid w:val="001A491F"/>
    <w:rsid w:val="001A5ECF"/>
    <w:rsid w:val="001B3D35"/>
    <w:rsid w:val="001B457B"/>
    <w:rsid w:val="001B716C"/>
    <w:rsid w:val="001C10C3"/>
    <w:rsid w:val="001C1105"/>
    <w:rsid w:val="001C32CC"/>
    <w:rsid w:val="001C32EC"/>
    <w:rsid w:val="001C3781"/>
    <w:rsid w:val="001C4AAF"/>
    <w:rsid w:val="001E775A"/>
    <w:rsid w:val="00201566"/>
    <w:rsid w:val="00214D77"/>
    <w:rsid w:val="00227A00"/>
    <w:rsid w:val="00230FB3"/>
    <w:rsid w:val="002371F7"/>
    <w:rsid w:val="00240E4E"/>
    <w:rsid w:val="00244560"/>
    <w:rsid w:val="002562B7"/>
    <w:rsid w:val="00261A03"/>
    <w:rsid w:val="00265DB9"/>
    <w:rsid w:val="0027448A"/>
    <w:rsid w:val="0028190E"/>
    <w:rsid w:val="00287A78"/>
    <w:rsid w:val="002B0342"/>
    <w:rsid w:val="002B67E4"/>
    <w:rsid w:val="002C70B6"/>
    <w:rsid w:val="002F1D66"/>
    <w:rsid w:val="002F48DD"/>
    <w:rsid w:val="002F78A2"/>
    <w:rsid w:val="003200FC"/>
    <w:rsid w:val="003210EB"/>
    <w:rsid w:val="00327DDB"/>
    <w:rsid w:val="00341502"/>
    <w:rsid w:val="00341B9A"/>
    <w:rsid w:val="0034319E"/>
    <w:rsid w:val="0035481D"/>
    <w:rsid w:val="00357995"/>
    <w:rsid w:val="003739D6"/>
    <w:rsid w:val="00385A56"/>
    <w:rsid w:val="003A3CB8"/>
    <w:rsid w:val="003B3113"/>
    <w:rsid w:val="003B3EDF"/>
    <w:rsid w:val="003C1678"/>
    <w:rsid w:val="003C56B4"/>
    <w:rsid w:val="003D5CFA"/>
    <w:rsid w:val="003D63E9"/>
    <w:rsid w:val="003D6BEE"/>
    <w:rsid w:val="003E2B04"/>
    <w:rsid w:val="003F239D"/>
    <w:rsid w:val="003F643A"/>
    <w:rsid w:val="004027A9"/>
    <w:rsid w:val="00404BCA"/>
    <w:rsid w:val="004100A6"/>
    <w:rsid w:val="00412F30"/>
    <w:rsid w:val="00436165"/>
    <w:rsid w:val="00443D48"/>
    <w:rsid w:val="004534D5"/>
    <w:rsid w:val="00455222"/>
    <w:rsid w:val="00463E6D"/>
    <w:rsid w:val="00464B7E"/>
    <w:rsid w:val="00473764"/>
    <w:rsid w:val="00485AAA"/>
    <w:rsid w:val="00491873"/>
    <w:rsid w:val="00494B79"/>
    <w:rsid w:val="004A74B9"/>
    <w:rsid w:val="004B3A85"/>
    <w:rsid w:val="004B4E6E"/>
    <w:rsid w:val="004B51A2"/>
    <w:rsid w:val="004B5671"/>
    <w:rsid w:val="004C12E3"/>
    <w:rsid w:val="004C14EE"/>
    <w:rsid w:val="004D6AE4"/>
    <w:rsid w:val="004F64D8"/>
    <w:rsid w:val="0050437F"/>
    <w:rsid w:val="00516B3F"/>
    <w:rsid w:val="00552476"/>
    <w:rsid w:val="005552F9"/>
    <w:rsid w:val="005707F9"/>
    <w:rsid w:val="00573BFD"/>
    <w:rsid w:val="00584B11"/>
    <w:rsid w:val="005950EA"/>
    <w:rsid w:val="005956A4"/>
    <w:rsid w:val="005B3499"/>
    <w:rsid w:val="005B5762"/>
    <w:rsid w:val="005C353E"/>
    <w:rsid w:val="005C5AA3"/>
    <w:rsid w:val="005F1F30"/>
    <w:rsid w:val="005F4331"/>
    <w:rsid w:val="0060620A"/>
    <w:rsid w:val="0060638A"/>
    <w:rsid w:val="006075DE"/>
    <w:rsid w:val="0062227D"/>
    <w:rsid w:val="006239A5"/>
    <w:rsid w:val="00627197"/>
    <w:rsid w:val="006366D7"/>
    <w:rsid w:val="00636B71"/>
    <w:rsid w:val="00641C5F"/>
    <w:rsid w:val="00643F68"/>
    <w:rsid w:val="006567AC"/>
    <w:rsid w:val="0066103B"/>
    <w:rsid w:val="0066427B"/>
    <w:rsid w:val="00674331"/>
    <w:rsid w:val="00676947"/>
    <w:rsid w:val="00695864"/>
    <w:rsid w:val="00696B9C"/>
    <w:rsid w:val="006A5134"/>
    <w:rsid w:val="006A7380"/>
    <w:rsid w:val="006B123D"/>
    <w:rsid w:val="006C1C1F"/>
    <w:rsid w:val="006C3D8E"/>
    <w:rsid w:val="006C695E"/>
    <w:rsid w:val="006D24DA"/>
    <w:rsid w:val="006D2AC7"/>
    <w:rsid w:val="006D3742"/>
    <w:rsid w:val="006D51A2"/>
    <w:rsid w:val="006D5888"/>
    <w:rsid w:val="006D6DD1"/>
    <w:rsid w:val="006E0009"/>
    <w:rsid w:val="006E7B22"/>
    <w:rsid w:val="006F3D4E"/>
    <w:rsid w:val="007022DC"/>
    <w:rsid w:val="00702F98"/>
    <w:rsid w:val="00704D32"/>
    <w:rsid w:val="00706681"/>
    <w:rsid w:val="0071004C"/>
    <w:rsid w:val="0071258E"/>
    <w:rsid w:val="00717364"/>
    <w:rsid w:val="00730A88"/>
    <w:rsid w:val="0074138D"/>
    <w:rsid w:val="00742A9C"/>
    <w:rsid w:val="00750C12"/>
    <w:rsid w:val="00754908"/>
    <w:rsid w:val="00755723"/>
    <w:rsid w:val="0075674A"/>
    <w:rsid w:val="007607FC"/>
    <w:rsid w:val="00764853"/>
    <w:rsid w:val="00795500"/>
    <w:rsid w:val="00796B66"/>
    <w:rsid w:val="007A1666"/>
    <w:rsid w:val="007C2842"/>
    <w:rsid w:val="007C2F3E"/>
    <w:rsid w:val="007C4AB5"/>
    <w:rsid w:val="007C6E5A"/>
    <w:rsid w:val="007C7B8C"/>
    <w:rsid w:val="007D01F2"/>
    <w:rsid w:val="007D4710"/>
    <w:rsid w:val="007E05C6"/>
    <w:rsid w:val="007E44E8"/>
    <w:rsid w:val="007F178A"/>
    <w:rsid w:val="007F3732"/>
    <w:rsid w:val="007F6C64"/>
    <w:rsid w:val="00801A73"/>
    <w:rsid w:val="0080579A"/>
    <w:rsid w:val="00810BAB"/>
    <w:rsid w:val="0081282E"/>
    <w:rsid w:val="00820957"/>
    <w:rsid w:val="00822AAC"/>
    <w:rsid w:val="00834D28"/>
    <w:rsid w:val="00840C62"/>
    <w:rsid w:val="00842923"/>
    <w:rsid w:val="00846EF0"/>
    <w:rsid w:val="0085020C"/>
    <w:rsid w:val="00852878"/>
    <w:rsid w:val="008635BA"/>
    <w:rsid w:val="00876822"/>
    <w:rsid w:val="00880AF9"/>
    <w:rsid w:val="00880D38"/>
    <w:rsid w:val="008865B7"/>
    <w:rsid w:val="00893129"/>
    <w:rsid w:val="008961E1"/>
    <w:rsid w:val="008A09AE"/>
    <w:rsid w:val="008A6536"/>
    <w:rsid w:val="008A6AE4"/>
    <w:rsid w:val="008A7F6B"/>
    <w:rsid w:val="008B265E"/>
    <w:rsid w:val="008B4FBA"/>
    <w:rsid w:val="008C5303"/>
    <w:rsid w:val="008E5F5F"/>
    <w:rsid w:val="008F2724"/>
    <w:rsid w:val="008F3A93"/>
    <w:rsid w:val="009002AB"/>
    <w:rsid w:val="00901617"/>
    <w:rsid w:val="00903BCC"/>
    <w:rsid w:val="00905300"/>
    <w:rsid w:val="00907963"/>
    <w:rsid w:val="009104EB"/>
    <w:rsid w:val="00913FBA"/>
    <w:rsid w:val="0093535B"/>
    <w:rsid w:val="0096078C"/>
    <w:rsid w:val="00960F93"/>
    <w:rsid w:val="0096495F"/>
    <w:rsid w:val="0096595E"/>
    <w:rsid w:val="00993D77"/>
    <w:rsid w:val="00994065"/>
    <w:rsid w:val="00997847"/>
    <w:rsid w:val="009A02A0"/>
    <w:rsid w:val="009A2EEE"/>
    <w:rsid w:val="009A39A2"/>
    <w:rsid w:val="009B7893"/>
    <w:rsid w:val="009C1D9B"/>
    <w:rsid w:val="009E5EE5"/>
    <w:rsid w:val="009F02B3"/>
    <w:rsid w:val="009F191D"/>
    <w:rsid w:val="009F4AC3"/>
    <w:rsid w:val="00A20532"/>
    <w:rsid w:val="00A20EC0"/>
    <w:rsid w:val="00A2310E"/>
    <w:rsid w:val="00A35D9C"/>
    <w:rsid w:val="00A37C16"/>
    <w:rsid w:val="00A435E9"/>
    <w:rsid w:val="00A4446F"/>
    <w:rsid w:val="00A47F67"/>
    <w:rsid w:val="00A52A21"/>
    <w:rsid w:val="00A55F87"/>
    <w:rsid w:val="00A561EC"/>
    <w:rsid w:val="00A604D4"/>
    <w:rsid w:val="00A61122"/>
    <w:rsid w:val="00A6550E"/>
    <w:rsid w:val="00A65710"/>
    <w:rsid w:val="00A66C7B"/>
    <w:rsid w:val="00A74DE9"/>
    <w:rsid w:val="00A85190"/>
    <w:rsid w:val="00A86496"/>
    <w:rsid w:val="00A90AED"/>
    <w:rsid w:val="00A96379"/>
    <w:rsid w:val="00AB0A25"/>
    <w:rsid w:val="00AB0B98"/>
    <w:rsid w:val="00AC555D"/>
    <w:rsid w:val="00AD0BED"/>
    <w:rsid w:val="00AD2501"/>
    <w:rsid w:val="00AF2B47"/>
    <w:rsid w:val="00AF47CB"/>
    <w:rsid w:val="00B079D0"/>
    <w:rsid w:val="00B17AE5"/>
    <w:rsid w:val="00B17DE9"/>
    <w:rsid w:val="00B17EDD"/>
    <w:rsid w:val="00B20E0B"/>
    <w:rsid w:val="00B21863"/>
    <w:rsid w:val="00B24402"/>
    <w:rsid w:val="00B26315"/>
    <w:rsid w:val="00B31A7E"/>
    <w:rsid w:val="00B33337"/>
    <w:rsid w:val="00B43CC4"/>
    <w:rsid w:val="00B45194"/>
    <w:rsid w:val="00B45533"/>
    <w:rsid w:val="00B45A4A"/>
    <w:rsid w:val="00B53C37"/>
    <w:rsid w:val="00B56024"/>
    <w:rsid w:val="00B61253"/>
    <w:rsid w:val="00B62E29"/>
    <w:rsid w:val="00B8699D"/>
    <w:rsid w:val="00B875FB"/>
    <w:rsid w:val="00B9771E"/>
    <w:rsid w:val="00BA345B"/>
    <w:rsid w:val="00BC4AA9"/>
    <w:rsid w:val="00BC556B"/>
    <w:rsid w:val="00BD1AD6"/>
    <w:rsid w:val="00BD3918"/>
    <w:rsid w:val="00BD5E77"/>
    <w:rsid w:val="00BE1704"/>
    <w:rsid w:val="00BE680F"/>
    <w:rsid w:val="00BF1E8E"/>
    <w:rsid w:val="00C04C52"/>
    <w:rsid w:val="00C1111D"/>
    <w:rsid w:val="00C1176C"/>
    <w:rsid w:val="00C161D9"/>
    <w:rsid w:val="00C300A4"/>
    <w:rsid w:val="00C475AD"/>
    <w:rsid w:val="00C51BB6"/>
    <w:rsid w:val="00C76D01"/>
    <w:rsid w:val="00C82A7D"/>
    <w:rsid w:val="00C87014"/>
    <w:rsid w:val="00C90008"/>
    <w:rsid w:val="00CA0C21"/>
    <w:rsid w:val="00CA317D"/>
    <w:rsid w:val="00CB07AD"/>
    <w:rsid w:val="00CC10E1"/>
    <w:rsid w:val="00CC3312"/>
    <w:rsid w:val="00CC7890"/>
    <w:rsid w:val="00CD0BE7"/>
    <w:rsid w:val="00CD603A"/>
    <w:rsid w:val="00CD793C"/>
    <w:rsid w:val="00CE01BA"/>
    <w:rsid w:val="00CE43C5"/>
    <w:rsid w:val="00CF016D"/>
    <w:rsid w:val="00CF3520"/>
    <w:rsid w:val="00D01CD2"/>
    <w:rsid w:val="00D03E22"/>
    <w:rsid w:val="00D138C2"/>
    <w:rsid w:val="00D2139C"/>
    <w:rsid w:val="00D213FE"/>
    <w:rsid w:val="00D236F1"/>
    <w:rsid w:val="00D25FE1"/>
    <w:rsid w:val="00D40465"/>
    <w:rsid w:val="00D44A80"/>
    <w:rsid w:val="00D4554B"/>
    <w:rsid w:val="00D45C2B"/>
    <w:rsid w:val="00D629FB"/>
    <w:rsid w:val="00D73BF9"/>
    <w:rsid w:val="00D75050"/>
    <w:rsid w:val="00D75608"/>
    <w:rsid w:val="00D842DF"/>
    <w:rsid w:val="00D8535B"/>
    <w:rsid w:val="00D853CC"/>
    <w:rsid w:val="00DA3C30"/>
    <w:rsid w:val="00DC2B8A"/>
    <w:rsid w:val="00DC391F"/>
    <w:rsid w:val="00DC5E03"/>
    <w:rsid w:val="00DD186F"/>
    <w:rsid w:val="00DD7791"/>
    <w:rsid w:val="00DE1827"/>
    <w:rsid w:val="00DE581D"/>
    <w:rsid w:val="00DF06AE"/>
    <w:rsid w:val="00DF1D6D"/>
    <w:rsid w:val="00DF3946"/>
    <w:rsid w:val="00DF5115"/>
    <w:rsid w:val="00E01745"/>
    <w:rsid w:val="00E07BC3"/>
    <w:rsid w:val="00E20E97"/>
    <w:rsid w:val="00E310A0"/>
    <w:rsid w:val="00E42482"/>
    <w:rsid w:val="00E50EC7"/>
    <w:rsid w:val="00E52280"/>
    <w:rsid w:val="00E57E0B"/>
    <w:rsid w:val="00E65F79"/>
    <w:rsid w:val="00E853CD"/>
    <w:rsid w:val="00E91ABB"/>
    <w:rsid w:val="00E951AC"/>
    <w:rsid w:val="00E97DA4"/>
    <w:rsid w:val="00EB4DFD"/>
    <w:rsid w:val="00EB79F1"/>
    <w:rsid w:val="00EE7BE0"/>
    <w:rsid w:val="00EF3D79"/>
    <w:rsid w:val="00EF474F"/>
    <w:rsid w:val="00EF4AC5"/>
    <w:rsid w:val="00EF7E11"/>
    <w:rsid w:val="00F0500E"/>
    <w:rsid w:val="00F15223"/>
    <w:rsid w:val="00F35A74"/>
    <w:rsid w:val="00F367B3"/>
    <w:rsid w:val="00F447A2"/>
    <w:rsid w:val="00F558A5"/>
    <w:rsid w:val="00F5712E"/>
    <w:rsid w:val="00F611DA"/>
    <w:rsid w:val="00F704EE"/>
    <w:rsid w:val="00F83DDC"/>
    <w:rsid w:val="00F874E9"/>
    <w:rsid w:val="00F96C71"/>
    <w:rsid w:val="00FA1F87"/>
    <w:rsid w:val="00FA5E2A"/>
    <w:rsid w:val="00FB1F39"/>
    <w:rsid w:val="00FB77EB"/>
    <w:rsid w:val="00FC1936"/>
    <w:rsid w:val="00FD7F66"/>
    <w:rsid w:val="00FE2DE3"/>
    <w:rsid w:val="00FE2E40"/>
    <w:rsid w:val="00FF677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A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paragraph" w:styleId="BalloonText">
    <w:name w:val="Balloon Text"/>
    <w:basedOn w:val="Normal"/>
    <w:link w:val="BalloonTextChar"/>
    <w:uiPriority w:val="99"/>
    <w:semiHidden/>
    <w:unhideWhenUsed/>
    <w:rsid w:val="00741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8D"/>
    <w:rPr>
      <w:rFonts w:ascii="Tahoma" w:hAnsi="Tahoma" w:cs="Tahoma"/>
      <w:sz w:val="16"/>
      <w:szCs w:val="16"/>
    </w:rPr>
  </w:style>
  <w:style w:type="character" w:styleId="Hyperlink">
    <w:name w:val="Hyperlink"/>
    <w:basedOn w:val="DefaultParagraphFont"/>
    <w:uiPriority w:val="99"/>
    <w:unhideWhenUsed/>
    <w:rsid w:val="0074138D"/>
    <w:rPr>
      <w:color w:val="0563C1" w:themeColor="hyperlink"/>
      <w:u w:val="single"/>
    </w:rPr>
  </w:style>
  <w:style w:type="character" w:styleId="FollowedHyperlink">
    <w:name w:val="FollowedHyperlink"/>
    <w:basedOn w:val="DefaultParagraphFont"/>
    <w:uiPriority w:val="99"/>
    <w:semiHidden/>
    <w:unhideWhenUsed/>
    <w:rsid w:val="0074138D"/>
    <w:rPr>
      <w:color w:val="954F72" w:themeColor="followedHyperlink"/>
      <w:u w:val="single"/>
    </w:rPr>
  </w:style>
  <w:style w:type="character" w:styleId="CommentReference">
    <w:name w:val="annotation reference"/>
    <w:basedOn w:val="DefaultParagraphFont"/>
    <w:uiPriority w:val="99"/>
    <w:semiHidden/>
    <w:unhideWhenUsed/>
    <w:rsid w:val="00B079D0"/>
    <w:rPr>
      <w:sz w:val="16"/>
      <w:szCs w:val="16"/>
    </w:rPr>
  </w:style>
  <w:style w:type="paragraph" w:styleId="CommentText">
    <w:name w:val="annotation text"/>
    <w:basedOn w:val="Normal"/>
    <w:link w:val="CommentTextChar"/>
    <w:uiPriority w:val="99"/>
    <w:semiHidden/>
    <w:unhideWhenUsed/>
    <w:rsid w:val="00B079D0"/>
    <w:pPr>
      <w:spacing w:line="240" w:lineRule="auto"/>
    </w:pPr>
    <w:rPr>
      <w:sz w:val="20"/>
      <w:szCs w:val="20"/>
    </w:rPr>
  </w:style>
  <w:style w:type="character" w:customStyle="1" w:styleId="CommentTextChar">
    <w:name w:val="Comment Text Char"/>
    <w:basedOn w:val="DefaultParagraphFont"/>
    <w:link w:val="CommentText"/>
    <w:uiPriority w:val="99"/>
    <w:semiHidden/>
    <w:rsid w:val="00B079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79D0"/>
    <w:rPr>
      <w:b/>
      <w:bCs/>
    </w:rPr>
  </w:style>
  <w:style w:type="character" w:customStyle="1" w:styleId="CommentSubjectChar">
    <w:name w:val="Comment Subject Char"/>
    <w:basedOn w:val="CommentTextChar"/>
    <w:link w:val="CommentSubject"/>
    <w:uiPriority w:val="99"/>
    <w:semiHidden/>
    <w:rsid w:val="00B079D0"/>
    <w:rPr>
      <w:rFonts w:ascii="Arial" w:hAnsi="Arial"/>
      <w:b/>
      <w:bCs/>
      <w:sz w:val="20"/>
      <w:szCs w:val="20"/>
    </w:rPr>
  </w:style>
  <w:style w:type="paragraph" w:styleId="TOC1">
    <w:name w:val="toc 1"/>
    <w:basedOn w:val="Normal"/>
    <w:next w:val="Normal"/>
    <w:autoRedefine/>
    <w:uiPriority w:val="39"/>
    <w:unhideWhenUsed/>
    <w:rsid w:val="007F178A"/>
    <w:pPr>
      <w:spacing w:after="100"/>
    </w:pPr>
  </w:style>
  <w:style w:type="paragraph" w:styleId="TOC2">
    <w:name w:val="toc 2"/>
    <w:basedOn w:val="Normal"/>
    <w:next w:val="Normal"/>
    <w:autoRedefine/>
    <w:uiPriority w:val="39"/>
    <w:unhideWhenUsed/>
    <w:rsid w:val="007F178A"/>
    <w:pPr>
      <w:spacing w:after="100"/>
      <w:ind w:left="220"/>
    </w:pPr>
  </w:style>
  <w:style w:type="paragraph" w:styleId="Caption">
    <w:name w:val="caption"/>
    <w:basedOn w:val="Normal"/>
    <w:next w:val="Normal"/>
    <w:uiPriority w:val="35"/>
    <w:unhideWhenUsed/>
    <w:qFormat/>
    <w:rsid w:val="00754908"/>
    <w:pPr>
      <w:spacing w:after="200" w:line="240" w:lineRule="auto"/>
    </w:pPr>
    <w:rPr>
      <w:b/>
      <w:bCs/>
      <w:color w:val="5B9BD5" w:themeColor="accent1"/>
      <w:sz w:val="18"/>
      <w:szCs w:val="18"/>
    </w:rPr>
  </w:style>
  <w:style w:type="table" w:styleId="TableGrid">
    <w:name w:val="Table Grid"/>
    <w:basedOn w:val="TableNormal"/>
    <w:uiPriority w:val="39"/>
    <w:rsid w:val="00DF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61E1"/>
    <w:rPr>
      <w:rFonts w:ascii="Arial" w:hAnsi="Arial"/>
      <w:sz w:val="22"/>
    </w:rPr>
  </w:style>
  <w:style w:type="paragraph" w:styleId="FootnoteText">
    <w:name w:val="footnote text"/>
    <w:basedOn w:val="Normal"/>
    <w:link w:val="FootnoteTextChar"/>
    <w:uiPriority w:val="99"/>
    <w:semiHidden/>
    <w:unhideWhenUsed/>
    <w:rsid w:val="00FD7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F66"/>
    <w:rPr>
      <w:rFonts w:ascii="Arial" w:hAnsi="Arial"/>
      <w:sz w:val="20"/>
      <w:szCs w:val="20"/>
    </w:rPr>
  </w:style>
  <w:style w:type="character" w:styleId="FootnoteReference">
    <w:name w:val="footnote reference"/>
    <w:basedOn w:val="DefaultParagraphFont"/>
    <w:uiPriority w:val="99"/>
    <w:semiHidden/>
    <w:unhideWhenUsed/>
    <w:rsid w:val="00FD7F66"/>
    <w:rPr>
      <w:vertAlign w:val="superscript"/>
    </w:rPr>
  </w:style>
  <w:style w:type="character" w:styleId="UnresolvedMention">
    <w:name w:val="Unresolved Mention"/>
    <w:basedOn w:val="DefaultParagraphFont"/>
    <w:uiPriority w:val="99"/>
    <w:semiHidden/>
    <w:unhideWhenUsed/>
    <w:rsid w:val="00834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schoolresourcing@qed.qld.gov.au" TargetMode="External"/><Relationship Id="rId13" Type="http://schemas.openxmlformats.org/officeDocument/2006/relationships/hyperlink" Target="https://education.qld.gov.au/about-us/budgets-funding-grants/grants/state-schoo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qld.gov.au/about-us/budgets-funding-grants/grants/state-school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qld.gov.au/about-us/budgets-funding-grants/grants/state-school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ducation.qld.gov.au/contact-us/state-schools-regional-conta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A7C53C33E6D4DAD324E66B79E4959" ma:contentTypeVersion="1" ma:contentTypeDescription="Create a new document." ma:contentTypeScope="" ma:versionID="9d1ae5ead265ae5ad252fa212f1e24b0">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DALEY, Steven</DisplayName>
        <AccountId>33</AccountId>
        <AccountType/>
      </UserInfo>
    </PPModeratedBy>
    <PPLastReviewedBy xmlns="cb3c87a9-729f-4b5b-b995-78be8b1e41f4">
      <UserInfo>
        <DisplayName>DALEY, Steven</DisplayName>
        <AccountId>33</AccountId>
        <AccountType/>
      </UserInfo>
    </PPLastReviewedBy>
    <PPContentApprover xmlns="cb3c87a9-729f-4b5b-b995-78be8b1e41f4">
      <UserInfo>
        <DisplayName/>
        <AccountId xsi:nil="true"/>
        <AccountType/>
      </UserInfo>
    </PPContentApprover>
    <PPContentAuthor xmlns="cb3c87a9-729f-4b5b-b995-78be8b1e41f4">
      <UserInfo>
        <DisplayName/>
        <AccountId xsi:nil="true"/>
        <AccountType/>
      </UserInfo>
    </PPContentAuthor>
    <PublishingStartDate xmlns="http://schemas.microsoft.com/sharepoint/v3" xsi:nil="true"/>
    <PPPublishedNotificationAddresses xmlns="cb3c87a9-729f-4b5b-b995-78be8b1e41f4" xsi:nil="true"/>
    <PPLastReviewedDate xmlns="cb3c87a9-729f-4b5b-b995-78be8b1e41f4">2022-07-28T03:16:30+00:00</PPLastReviewedDate>
    <PPModeratedDate xmlns="cb3c87a9-729f-4b5b-b995-78be8b1e41f4">2022-07-28T03:16:30+00:00</PPModeratedDate>
    <PPSubmittedDate xmlns="cb3c87a9-729f-4b5b-b995-78be8b1e41f4">2022-07-28T03:16:16+00:00</PPSubmittedDate>
    <PPContentOwner xmlns="cb3c87a9-729f-4b5b-b995-78be8b1e41f4">
      <UserInfo>
        <DisplayName/>
        <AccountId xsi:nil="true"/>
        <AccountType/>
      </UserInfo>
    </PPContentOwner>
    <PublishingExpirationDate xmlns="http://schemas.microsoft.com/sharepoint/v3" xsi:nil="true"/>
    <PPSubmittedBy xmlns="cb3c87a9-729f-4b5b-b995-78be8b1e41f4">
      <UserInfo>
        <DisplayName>DALEY, Steven</DisplayName>
        <AccountId>33</AccountId>
        <AccountType/>
      </UserInfo>
    </PPSubmittedBy>
    <PPReviewDate xmlns="cb3c87a9-729f-4b5b-b995-78be8b1e41f4" xsi:nil="true"/>
  </documentManagement>
</p:properties>
</file>

<file path=customXml/itemProps1.xml><?xml version="1.0" encoding="utf-8"?>
<ds:datastoreItem xmlns:ds="http://schemas.openxmlformats.org/officeDocument/2006/customXml" ds:itemID="{A17BAF75-B8D7-49B6-B25F-B01800C2E775}"/>
</file>

<file path=customXml/itemProps2.xml><?xml version="1.0" encoding="utf-8"?>
<ds:datastoreItem xmlns:ds="http://schemas.openxmlformats.org/officeDocument/2006/customXml" ds:itemID="{32DDB782-FE85-435E-9FBA-C16E852AE44A}"/>
</file>

<file path=customXml/itemProps3.xml><?xml version="1.0" encoding="utf-8"?>
<ds:datastoreItem xmlns:ds="http://schemas.openxmlformats.org/officeDocument/2006/customXml" ds:itemID="{AD9403DE-D2FE-4C9B-8A13-292D7ABE6CA6}"/>
</file>

<file path=customXml/itemProps4.xml><?xml version="1.0" encoding="utf-8"?>
<ds:datastoreItem xmlns:ds="http://schemas.openxmlformats.org/officeDocument/2006/customXml" ds:itemID="{061116EE-D93F-4C2F-A463-67E525C142CF}"/>
</file>

<file path=docProps/app.xml><?xml version="1.0" encoding="utf-8"?>
<Properties xmlns="http://schemas.openxmlformats.org/officeDocument/2006/extended-properties" xmlns:vt="http://schemas.openxmlformats.org/officeDocument/2006/docPropsVTypes">
  <Template>Normal.dotm</Template>
  <TotalTime>0</TotalTime>
  <Pages>14</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2019-02-22T00:13:00Z</dcterms:created>
  <dcterms:modified xsi:type="dcterms:W3CDTF">2022-07-18T22:46:00Z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0x010100C4AA7C53C33E6D4DAD324E66B79E4959</vt:lpwstr>
  </property>
</Properties>
</file>